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FD86" w14:textId="77971191" w:rsidR="006A15D6" w:rsidRPr="00657A2D" w:rsidRDefault="00EC5F89" w:rsidP="00BA39E9">
      <w:pPr>
        <w:rPr>
          <w:rFonts w:asciiTheme="minorHAnsi" w:hAnsiTheme="minorHAnsi" w:cstheme="minorHAnsi"/>
          <w:b/>
          <w:bCs/>
          <w:sz w:val="22"/>
          <w:szCs w:val="22"/>
          <w:u w:val="single"/>
        </w:rPr>
      </w:pPr>
      <w:r w:rsidRPr="00797E3A">
        <w:rPr>
          <w:rFonts w:asciiTheme="minorHAnsi" w:hAnsiTheme="minorHAnsi" w:cstheme="minorHAnsi"/>
          <w:b/>
          <w:bCs/>
          <w:sz w:val="22"/>
          <w:szCs w:val="22"/>
          <w:u w:val="single"/>
        </w:rPr>
        <w:t xml:space="preserve">ARTICLE </w:t>
      </w:r>
      <w:r w:rsidR="00765826" w:rsidRPr="00797E3A">
        <w:rPr>
          <w:rFonts w:asciiTheme="minorHAnsi" w:hAnsiTheme="minorHAnsi" w:cstheme="minorHAnsi"/>
          <w:b/>
          <w:bCs/>
          <w:sz w:val="22"/>
          <w:szCs w:val="22"/>
          <w:u w:val="single"/>
        </w:rPr>
        <w:t>XX</w:t>
      </w:r>
      <w:r w:rsidRPr="00797E3A">
        <w:rPr>
          <w:rFonts w:asciiTheme="minorHAnsi" w:hAnsiTheme="minorHAnsi" w:cstheme="minorHAnsi"/>
          <w:b/>
          <w:bCs/>
          <w:sz w:val="22"/>
          <w:szCs w:val="22"/>
          <w:u w:val="single"/>
        </w:rPr>
        <w:t>. </w:t>
      </w:r>
      <w:r w:rsidR="002604A7" w:rsidRPr="00657A2D">
        <w:rPr>
          <w:rFonts w:asciiTheme="minorHAnsi" w:hAnsiTheme="minorHAnsi" w:cstheme="minorHAnsi"/>
          <w:b/>
          <w:bCs/>
          <w:sz w:val="22"/>
          <w:szCs w:val="22"/>
          <w:u w:val="single"/>
        </w:rPr>
        <w:t xml:space="preserve">High Technology </w:t>
      </w:r>
      <w:r w:rsidR="00552E54" w:rsidRPr="00657A2D">
        <w:rPr>
          <w:rFonts w:asciiTheme="minorHAnsi" w:hAnsiTheme="minorHAnsi" w:cstheme="minorHAnsi"/>
          <w:b/>
          <w:bCs/>
          <w:sz w:val="22"/>
          <w:szCs w:val="22"/>
          <w:u w:val="single"/>
        </w:rPr>
        <w:t>Data Center Facilities</w:t>
      </w:r>
      <w:r w:rsidRPr="00657A2D">
        <w:rPr>
          <w:rFonts w:asciiTheme="minorHAnsi" w:hAnsiTheme="minorHAnsi" w:cstheme="minorHAnsi"/>
          <w:b/>
          <w:bCs/>
          <w:sz w:val="22"/>
          <w:szCs w:val="22"/>
          <w:u w:val="single"/>
        </w:rPr>
        <w:t>.</w:t>
      </w:r>
    </w:p>
    <w:p w14:paraId="4D7AC7DC" w14:textId="274F0106" w:rsidR="006A15D6" w:rsidRPr="00657A2D" w:rsidRDefault="00EC5F89" w:rsidP="00BA39E9">
      <w:pPr>
        <w:rPr>
          <w:rFonts w:asciiTheme="minorHAnsi" w:hAnsiTheme="minorHAnsi" w:cstheme="minorHAnsi"/>
          <w:sz w:val="22"/>
          <w:szCs w:val="22"/>
        </w:rPr>
      </w:pPr>
      <w:r w:rsidRPr="00657A2D">
        <w:rPr>
          <w:rFonts w:asciiTheme="minorHAnsi" w:hAnsiTheme="minorHAnsi" w:cstheme="minorHAnsi"/>
          <w:sz w:val="22"/>
          <w:szCs w:val="22"/>
        </w:rPr>
        <w:t xml:space="preserve">The following standards are intended to guide the development of </w:t>
      </w:r>
      <w:r w:rsidR="009B0E12" w:rsidRPr="00657A2D">
        <w:rPr>
          <w:rFonts w:asciiTheme="minorHAnsi" w:hAnsiTheme="minorHAnsi" w:cstheme="minorHAnsi"/>
          <w:sz w:val="22"/>
          <w:szCs w:val="22"/>
        </w:rPr>
        <w:t xml:space="preserve">data center </w:t>
      </w:r>
      <w:r w:rsidR="00E60544" w:rsidRPr="00657A2D">
        <w:rPr>
          <w:rFonts w:asciiTheme="minorHAnsi" w:hAnsiTheme="minorHAnsi" w:cstheme="minorHAnsi"/>
          <w:sz w:val="22"/>
          <w:szCs w:val="22"/>
        </w:rPr>
        <w:t xml:space="preserve">facilities </w:t>
      </w:r>
      <w:r w:rsidRPr="00657A2D">
        <w:rPr>
          <w:rFonts w:asciiTheme="minorHAnsi" w:hAnsiTheme="minorHAnsi" w:cstheme="minorHAnsi"/>
          <w:sz w:val="22"/>
          <w:szCs w:val="22"/>
        </w:rPr>
        <w:t xml:space="preserve">and/or </w:t>
      </w:r>
      <w:r w:rsidR="00AC3B07" w:rsidRPr="00657A2D">
        <w:rPr>
          <w:rFonts w:asciiTheme="minorHAnsi" w:hAnsiTheme="minorHAnsi" w:cstheme="minorHAnsi"/>
          <w:sz w:val="22"/>
          <w:szCs w:val="22"/>
        </w:rPr>
        <w:t xml:space="preserve">associated </w:t>
      </w:r>
      <w:r w:rsidR="00863721" w:rsidRPr="00657A2D">
        <w:rPr>
          <w:rFonts w:asciiTheme="minorHAnsi" w:hAnsiTheme="minorHAnsi" w:cstheme="minorHAnsi"/>
          <w:sz w:val="22"/>
          <w:szCs w:val="22"/>
        </w:rPr>
        <w:t>facilities</w:t>
      </w:r>
      <w:r w:rsidR="00AC3B07" w:rsidRPr="00657A2D">
        <w:rPr>
          <w:rFonts w:asciiTheme="minorHAnsi" w:hAnsiTheme="minorHAnsi" w:cstheme="minorHAnsi"/>
          <w:sz w:val="22"/>
          <w:szCs w:val="22"/>
        </w:rPr>
        <w:t xml:space="preserve"> </w:t>
      </w:r>
      <w:r w:rsidRPr="00657A2D">
        <w:rPr>
          <w:rFonts w:asciiTheme="minorHAnsi" w:hAnsiTheme="minorHAnsi" w:cstheme="minorHAnsi"/>
          <w:sz w:val="22"/>
          <w:szCs w:val="22"/>
        </w:rPr>
        <w:t>in a manner that protects the public health, safety</w:t>
      </w:r>
      <w:r w:rsidR="004F19B0" w:rsidRPr="00657A2D">
        <w:rPr>
          <w:rFonts w:asciiTheme="minorHAnsi" w:hAnsiTheme="minorHAnsi" w:cstheme="minorHAnsi"/>
          <w:sz w:val="22"/>
          <w:szCs w:val="22"/>
        </w:rPr>
        <w:t>,</w:t>
      </w:r>
      <w:r w:rsidRPr="00657A2D">
        <w:rPr>
          <w:rFonts w:asciiTheme="minorHAnsi" w:hAnsiTheme="minorHAnsi" w:cstheme="minorHAnsi"/>
          <w:sz w:val="22"/>
          <w:szCs w:val="22"/>
        </w:rPr>
        <w:t xml:space="preserve"> and welfare and avoids significant impacts on resources and adjacent land uses. </w:t>
      </w:r>
    </w:p>
    <w:p w14:paraId="7A521604" w14:textId="77777777" w:rsidR="006A15D6" w:rsidRPr="00657A2D" w:rsidRDefault="006A15D6" w:rsidP="00BA39E9">
      <w:pPr>
        <w:rPr>
          <w:rFonts w:asciiTheme="minorHAnsi" w:hAnsiTheme="minorHAnsi" w:cstheme="minorHAnsi"/>
          <w:sz w:val="22"/>
          <w:szCs w:val="22"/>
        </w:rPr>
        <w:sectPr w:rsidR="006A15D6" w:rsidRPr="00657A2D">
          <w:footerReference w:type="default" r:id="rId8"/>
          <w:type w:val="continuous"/>
          <w:pgSz w:w="12240" w:h="15840"/>
          <w:pgMar w:top="1440" w:right="1440" w:bottom="1440" w:left="1440" w:header="720" w:footer="720" w:gutter="0"/>
          <w:cols w:space="720"/>
        </w:sectPr>
      </w:pPr>
    </w:p>
    <w:p w14:paraId="3A238227" w14:textId="1E7A4542"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863721" w:rsidRPr="00657A2D">
        <w:rPr>
          <w:rFonts w:asciiTheme="minorHAnsi" w:hAnsiTheme="minorHAnsi" w:cstheme="minorHAnsi"/>
          <w:b/>
          <w:bCs/>
          <w:sz w:val="22"/>
          <w:szCs w:val="22"/>
        </w:rPr>
        <w:t>XX</w:t>
      </w:r>
      <w:r w:rsidR="00E80F0E" w:rsidRPr="00657A2D">
        <w:rPr>
          <w:rFonts w:asciiTheme="minorHAnsi" w:hAnsiTheme="minorHAnsi" w:cstheme="minorHAnsi"/>
          <w:b/>
          <w:bCs/>
          <w:sz w:val="22"/>
          <w:szCs w:val="22"/>
        </w:rPr>
        <w:t>.</w:t>
      </w:r>
      <w:r w:rsidRPr="00657A2D">
        <w:rPr>
          <w:rFonts w:asciiTheme="minorHAnsi" w:hAnsiTheme="minorHAnsi" w:cstheme="minorHAnsi"/>
          <w:b/>
          <w:bCs/>
          <w:sz w:val="22"/>
          <w:szCs w:val="22"/>
        </w:rPr>
        <w:t> Title.</w:t>
      </w:r>
    </w:p>
    <w:p w14:paraId="7F44DED1" w14:textId="6F28DBFC" w:rsidR="006A15D6" w:rsidRPr="00657A2D" w:rsidRDefault="00EC5F89" w:rsidP="00BA39E9">
      <w:pPr>
        <w:rPr>
          <w:rFonts w:asciiTheme="minorHAnsi" w:hAnsiTheme="minorHAnsi" w:cstheme="minorHAnsi"/>
          <w:sz w:val="22"/>
          <w:szCs w:val="22"/>
        </w:rPr>
      </w:pPr>
      <w:r w:rsidRPr="00657A2D">
        <w:rPr>
          <w:rFonts w:asciiTheme="minorHAnsi" w:hAnsiTheme="minorHAnsi" w:cstheme="minorHAnsi"/>
          <w:sz w:val="22"/>
          <w:szCs w:val="22"/>
        </w:rPr>
        <w:t>This ordinance shall be known and may be cited as the "</w:t>
      </w:r>
      <w:r w:rsidR="00A01EE2" w:rsidRPr="00657A2D">
        <w:rPr>
          <w:rFonts w:asciiTheme="minorHAnsi" w:hAnsiTheme="minorHAnsi" w:cstheme="minorHAnsi"/>
          <w:sz w:val="22"/>
          <w:szCs w:val="22"/>
        </w:rPr>
        <w:t xml:space="preserve">High Technology Data Center Facilities </w:t>
      </w:r>
      <w:r w:rsidRPr="00657A2D">
        <w:rPr>
          <w:rFonts w:asciiTheme="minorHAnsi" w:hAnsiTheme="minorHAnsi" w:cstheme="minorHAnsi"/>
          <w:sz w:val="22"/>
          <w:szCs w:val="22"/>
        </w:rPr>
        <w:t xml:space="preserve">Ordinance of </w:t>
      </w:r>
      <w:r w:rsidR="00494215" w:rsidRPr="00657A2D">
        <w:rPr>
          <w:rFonts w:asciiTheme="minorHAnsi" w:hAnsiTheme="minorHAnsi" w:cstheme="minorHAnsi"/>
          <w:sz w:val="22"/>
          <w:szCs w:val="22"/>
        </w:rPr>
        <w:t>[</w:t>
      </w:r>
      <w:r w:rsidR="00BB28FA" w:rsidRPr="00657A2D">
        <w:rPr>
          <w:rFonts w:asciiTheme="minorHAnsi" w:hAnsiTheme="minorHAnsi" w:cstheme="minorHAnsi"/>
          <w:sz w:val="22"/>
          <w:szCs w:val="22"/>
        </w:rPr>
        <w:t>City/</w:t>
      </w:r>
      <w:r w:rsidRPr="00657A2D">
        <w:rPr>
          <w:rFonts w:asciiTheme="minorHAnsi" w:hAnsiTheme="minorHAnsi" w:cstheme="minorHAnsi"/>
          <w:sz w:val="22"/>
          <w:szCs w:val="22"/>
        </w:rPr>
        <w:t>County</w:t>
      </w:r>
      <w:r w:rsidR="00494215" w:rsidRPr="00657A2D">
        <w:rPr>
          <w:rFonts w:asciiTheme="minorHAnsi" w:hAnsiTheme="minorHAnsi" w:cstheme="minorHAnsi"/>
          <w:sz w:val="22"/>
          <w:szCs w:val="22"/>
        </w:rPr>
        <w:t>]</w:t>
      </w:r>
      <w:r w:rsidRPr="00657A2D">
        <w:rPr>
          <w:rFonts w:asciiTheme="minorHAnsi" w:hAnsiTheme="minorHAnsi" w:cstheme="minorHAnsi"/>
          <w:sz w:val="22"/>
          <w:szCs w:val="22"/>
        </w:rPr>
        <w:t>, Georgia," and may be referred to as the "</w:t>
      </w:r>
      <w:r w:rsidR="00A01EE2" w:rsidRPr="00657A2D">
        <w:rPr>
          <w:rFonts w:asciiTheme="minorHAnsi" w:hAnsiTheme="minorHAnsi" w:cstheme="minorHAnsi"/>
          <w:sz w:val="22"/>
          <w:szCs w:val="22"/>
        </w:rPr>
        <w:t>data center</w:t>
      </w:r>
      <w:r w:rsidRPr="00657A2D">
        <w:rPr>
          <w:rFonts w:asciiTheme="minorHAnsi" w:hAnsiTheme="minorHAnsi" w:cstheme="minorHAnsi"/>
          <w:sz w:val="22"/>
          <w:szCs w:val="22"/>
        </w:rPr>
        <w:t xml:space="preserve"> ordinance." </w:t>
      </w:r>
    </w:p>
    <w:p w14:paraId="744487D6" w14:textId="77777777" w:rsidR="006A15D6" w:rsidRPr="00657A2D" w:rsidRDefault="006A15D6" w:rsidP="00BA39E9">
      <w:pPr>
        <w:rPr>
          <w:rFonts w:asciiTheme="minorHAnsi" w:hAnsiTheme="minorHAnsi" w:cstheme="minorHAnsi"/>
          <w:sz w:val="22"/>
          <w:szCs w:val="22"/>
        </w:rPr>
        <w:sectPr w:rsidR="006A15D6" w:rsidRPr="00657A2D">
          <w:headerReference w:type="default" r:id="rId9"/>
          <w:footerReference w:type="default" r:id="rId10"/>
          <w:type w:val="continuous"/>
          <w:pgSz w:w="12240" w:h="15840"/>
          <w:pgMar w:top="1440" w:right="1440" w:bottom="1440" w:left="1440" w:header="720" w:footer="720" w:gutter="0"/>
          <w:cols w:space="720"/>
        </w:sectPr>
      </w:pPr>
    </w:p>
    <w:p w14:paraId="041C03B3" w14:textId="53BFC633"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863721" w:rsidRPr="00657A2D">
        <w:rPr>
          <w:rFonts w:asciiTheme="minorHAnsi" w:hAnsiTheme="minorHAnsi" w:cstheme="minorHAnsi"/>
          <w:b/>
          <w:bCs/>
          <w:sz w:val="22"/>
          <w:szCs w:val="22"/>
        </w:rPr>
        <w:t>XX</w:t>
      </w:r>
      <w:r w:rsidR="00E80F0E" w:rsidRPr="00657A2D">
        <w:rPr>
          <w:rFonts w:asciiTheme="minorHAnsi" w:hAnsiTheme="minorHAnsi" w:cstheme="minorHAnsi"/>
          <w:b/>
          <w:bCs/>
          <w:sz w:val="22"/>
          <w:szCs w:val="22"/>
        </w:rPr>
        <w:t>.</w:t>
      </w:r>
      <w:r w:rsidRPr="00657A2D">
        <w:rPr>
          <w:rFonts w:asciiTheme="minorHAnsi" w:hAnsiTheme="minorHAnsi" w:cstheme="minorHAnsi"/>
          <w:b/>
          <w:bCs/>
          <w:sz w:val="22"/>
          <w:szCs w:val="22"/>
        </w:rPr>
        <w:t> Intent.</w:t>
      </w:r>
    </w:p>
    <w:p w14:paraId="41C68D52" w14:textId="25AF81CE" w:rsidR="006A15D6" w:rsidRPr="00657A2D" w:rsidRDefault="00EC5F89" w:rsidP="00BA39E9">
      <w:pPr>
        <w:rPr>
          <w:rFonts w:asciiTheme="minorHAnsi" w:hAnsiTheme="minorHAnsi" w:cstheme="minorHAnsi"/>
          <w:sz w:val="22"/>
          <w:szCs w:val="22"/>
        </w:rPr>
      </w:pPr>
      <w:r w:rsidRPr="00657A2D">
        <w:rPr>
          <w:rFonts w:asciiTheme="minorHAnsi" w:hAnsiTheme="minorHAnsi" w:cstheme="minorHAnsi"/>
          <w:sz w:val="22"/>
          <w:szCs w:val="22"/>
        </w:rPr>
        <w:t xml:space="preserve">The intent of this </w:t>
      </w:r>
      <w:r w:rsidR="00A01EE2" w:rsidRPr="00657A2D">
        <w:rPr>
          <w:rFonts w:asciiTheme="minorHAnsi" w:hAnsiTheme="minorHAnsi" w:cstheme="minorHAnsi"/>
          <w:sz w:val="22"/>
          <w:szCs w:val="22"/>
        </w:rPr>
        <w:t xml:space="preserve">data center </w:t>
      </w:r>
      <w:r w:rsidRPr="00657A2D">
        <w:rPr>
          <w:rFonts w:asciiTheme="minorHAnsi" w:hAnsiTheme="minorHAnsi" w:cstheme="minorHAnsi"/>
          <w:sz w:val="22"/>
          <w:szCs w:val="22"/>
        </w:rPr>
        <w:t xml:space="preserve">ordinance is to: </w:t>
      </w:r>
    </w:p>
    <w:p w14:paraId="5F0A6B65" w14:textId="6BA1CA5D" w:rsidR="006A15D6" w:rsidRPr="00657A2D" w:rsidRDefault="00EC5F89" w:rsidP="00BA39E9">
      <w:pPr>
        <w:rPr>
          <w:rFonts w:asciiTheme="minorHAnsi" w:hAnsiTheme="minorHAnsi" w:cstheme="minorHAnsi"/>
          <w:sz w:val="22"/>
          <w:szCs w:val="22"/>
        </w:rPr>
      </w:pPr>
      <w:r w:rsidRPr="00657A2D">
        <w:rPr>
          <w:rFonts w:asciiTheme="minorHAnsi" w:hAnsiTheme="minorHAnsi" w:cstheme="minorHAnsi"/>
          <w:sz w:val="22"/>
          <w:szCs w:val="22"/>
        </w:rPr>
        <w:t xml:space="preserve">Minimize the potential adverse effects associated with the construction of </w:t>
      </w:r>
      <w:r w:rsidR="00957A06" w:rsidRPr="00657A2D">
        <w:rPr>
          <w:rFonts w:asciiTheme="minorHAnsi" w:hAnsiTheme="minorHAnsi" w:cstheme="minorHAnsi"/>
          <w:sz w:val="22"/>
          <w:szCs w:val="22"/>
        </w:rPr>
        <w:t>data center campuses and</w:t>
      </w:r>
      <w:r w:rsidR="00B56CCE" w:rsidRPr="00657A2D">
        <w:rPr>
          <w:rFonts w:asciiTheme="minorHAnsi" w:hAnsiTheme="minorHAnsi" w:cstheme="minorHAnsi"/>
          <w:sz w:val="22"/>
          <w:szCs w:val="22"/>
        </w:rPr>
        <w:t>/or</w:t>
      </w:r>
      <w:r w:rsidR="00957A06" w:rsidRPr="00657A2D">
        <w:rPr>
          <w:rFonts w:asciiTheme="minorHAnsi" w:hAnsiTheme="minorHAnsi" w:cstheme="minorHAnsi"/>
          <w:sz w:val="22"/>
          <w:szCs w:val="22"/>
        </w:rPr>
        <w:t xml:space="preserve"> facilities </w:t>
      </w:r>
      <w:r w:rsidRPr="00657A2D">
        <w:rPr>
          <w:rFonts w:asciiTheme="minorHAnsi" w:hAnsiTheme="minorHAnsi" w:cstheme="minorHAnsi"/>
          <w:sz w:val="22"/>
          <w:szCs w:val="22"/>
        </w:rPr>
        <w:t xml:space="preserve">through the implementation of reasonable design, landscaping, and construction practices. </w:t>
      </w:r>
    </w:p>
    <w:p w14:paraId="44927788" w14:textId="77777777" w:rsidR="006A15D6" w:rsidRPr="00657A2D" w:rsidRDefault="006A15D6" w:rsidP="00BA39E9">
      <w:pPr>
        <w:rPr>
          <w:rFonts w:asciiTheme="minorHAnsi" w:hAnsiTheme="minorHAnsi" w:cstheme="minorHAnsi"/>
          <w:sz w:val="22"/>
          <w:szCs w:val="22"/>
        </w:rPr>
        <w:sectPr w:rsidR="006A15D6" w:rsidRPr="00657A2D">
          <w:headerReference w:type="default" r:id="rId11"/>
          <w:footerReference w:type="default" r:id="rId12"/>
          <w:type w:val="continuous"/>
          <w:pgSz w:w="12240" w:h="15840"/>
          <w:pgMar w:top="1440" w:right="1440" w:bottom="1440" w:left="1440" w:header="720" w:footer="720" w:gutter="0"/>
          <w:cols w:space="720"/>
        </w:sectPr>
      </w:pPr>
    </w:p>
    <w:p w14:paraId="420068AF" w14:textId="0C6BAA8C"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863721" w:rsidRPr="00657A2D">
        <w:rPr>
          <w:rFonts w:asciiTheme="minorHAnsi" w:hAnsiTheme="minorHAnsi" w:cstheme="minorHAnsi"/>
          <w:b/>
          <w:bCs/>
          <w:sz w:val="22"/>
          <w:szCs w:val="22"/>
        </w:rPr>
        <w:t>XX</w:t>
      </w:r>
      <w:r w:rsidRPr="00657A2D">
        <w:rPr>
          <w:rFonts w:asciiTheme="minorHAnsi" w:hAnsiTheme="minorHAnsi" w:cstheme="minorHAnsi"/>
          <w:b/>
          <w:bCs/>
          <w:sz w:val="22"/>
          <w:szCs w:val="22"/>
        </w:rPr>
        <w:t>. Applicability.</w:t>
      </w:r>
    </w:p>
    <w:p w14:paraId="4E942CFE" w14:textId="022D5FBC" w:rsidR="00A571BA" w:rsidRPr="00657A2D" w:rsidRDefault="00EC5F89" w:rsidP="00BA39E9">
      <w:pPr>
        <w:pStyle w:val="ListParagraph"/>
        <w:numPr>
          <w:ilvl w:val="0"/>
          <w:numId w:val="26"/>
        </w:numPr>
        <w:rPr>
          <w:rFonts w:asciiTheme="minorHAnsi" w:hAnsiTheme="minorHAnsi" w:cstheme="minorHAnsi"/>
          <w:sz w:val="22"/>
          <w:szCs w:val="22"/>
        </w:rPr>
      </w:pPr>
      <w:r w:rsidRPr="00657A2D">
        <w:rPr>
          <w:rFonts w:asciiTheme="minorHAnsi" w:hAnsiTheme="minorHAnsi" w:cstheme="minorHAnsi"/>
          <w:sz w:val="22"/>
          <w:szCs w:val="22"/>
        </w:rPr>
        <w:t xml:space="preserve">The following provisions are applicable to this </w:t>
      </w:r>
      <w:r w:rsidR="00166292" w:rsidRPr="00657A2D">
        <w:rPr>
          <w:rFonts w:asciiTheme="minorHAnsi" w:hAnsiTheme="minorHAnsi" w:cstheme="minorHAnsi"/>
          <w:sz w:val="22"/>
          <w:szCs w:val="22"/>
        </w:rPr>
        <w:t>data center campus and</w:t>
      </w:r>
      <w:r w:rsidR="00B56CCE" w:rsidRPr="00657A2D">
        <w:rPr>
          <w:rFonts w:asciiTheme="minorHAnsi" w:hAnsiTheme="minorHAnsi" w:cstheme="minorHAnsi"/>
          <w:sz w:val="22"/>
          <w:szCs w:val="22"/>
        </w:rPr>
        <w:t>/or</w:t>
      </w:r>
      <w:r w:rsidR="00166292" w:rsidRPr="00657A2D">
        <w:rPr>
          <w:rFonts w:asciiTheme="minorHAnsi" w:hAnsiTheme="minorHAnsi" w:cstheme="minorHAnsi"/>
          <w:sz w:val="22"/>
          <w:szCs w:val="22"/>
        </w:rPr>
        <w:t xml:space="preserve"> facility </w:t>
      </w:r>
      <w:r w:rsidRPr="00657A2D">
        <w:rPr>
          <w:rFonts w:asciiTheme="minorHAnsi" w:hAnsiTheme="minorHAnsi" w:cstheme="minorHAnsi"/>
          <w:sz w:val="22"/>
          <w:szCs w:val="22"/>
        </w:rPr>
        <w:t xml:space="preserve">ordinance: </w:t>
      </w:r>
    </w:p>
    <w:p w14:paraId="18E524E4" w14:textId="0094BDC5" w:rsidR="00A571BA" w:rsidRPr="00657A2D" w:rsidRDefault="0004545D" w:rsidP="00BA39E9">
      <w:pPr>
        <w:pStyle w:val="ListParagraph"/>
        <w:numPr>
          <w:ilvl w:val="1"/>
          <w:numId w:val="26"/>
        </w:numPr>
        <w:rPr>
          <w:rFonts w:asciiTheme="minorHAnsi" w:hAnsiTheme="minorHAnsi" w:cstheme="minorHAnsi"/>
          <w:sz w:val="22"/>
          <w:szCs w:val="22"/>
        </w:rPr>
      </w:pPr>
      <w:r w:rsidRPr="00657A2D">
        <w:rPr>
          <w:rFonts w:asciiTheme="minorHAnsi" w:hAnsiTheme="minorHAnsi" w:cstheme="minorHAnsi"/>
          <w:sz w:val="22"/>
          <w:szCs w:val="22"/>
        </w:rPr>
        <w:t>Data center campuses and</w:t>
      </w:r>
      <w:r w:rsidR="00B56CCE" w:rsidRPr="00657A2D">
        <w:rPr>
          <w:rFonts w:asciiTheme="minorHAnsi" w:hAnsiTheme="minorHAnsi" w:cstheme="minorHAnsi"/>
          <w:sz w:val="22"/>
          <w:szCs w:val="22"/>
        </w:rPr>
        <w:t>/or</w:t>
      </w:r>
      <w:r w:rsidRPr="00657A2D">
        <w:rPr>
          <w:rFonts w:asciiTheme="minorHAnsi" w:hAnsiTheme="minorHAnsi" w:cstheme="minorHAnsi"/>
          <w:sz w:val="22"/>
          <w:szCs w:val="22"/>
        </w:rPr>
        <w:t xml:space="preserve"> facilities permitted prior to the effective date of this ordinance shall be required to meet the requirements of </w:t>
      </w:r>
      <w:r w:rsidR="00BF414E" w:rsidRPr="00657A2D">
        <w:rPr>
          <w:rFonts w:asciiTheme="minorHAnsi" w:hAnsiTheme="minorHAnsi" w:cstheme="minorHAnsi"/>
          <w:sz w:val="22"/>
          <w:szCs w:val="22"/>
        </w:rPr>
        <w:t>Section XX. Annual Reporting</w:t>
      </w:r>
      <w:r w:rsidRPr="00657A2D">
        <w:rPr>
          <w:rFonts w:asciiTheme="minorHAnsi" w:hAnsiTheme="minorHAnsi" w:cstheme="minorHAnsi"/>
          <w:sz w:val="22"/>
          <w:szCs w:val="22"/>
        </w:rPr>
        <w:t xml:space="preserve">. </w:t>
      </w:r>
    </w:p>
    <w:p w14:paraId="62ED9B12" w14:textId="6306675B" w:rsidR="00A571BA" w:rsidRPr="00657A2D" w:rsidRDefault="0004545D" w:rsidP="00BA39E9">
      <w:pPr>
        <w:pStyle w:val="ListParagraph"/>
        <w:numPr>
          <w:ilvl w:val="1"/>
          <w:numId w:val="26"/>
        </w:numPr>
        <w:rPr>
          <w:rFonts w:asciiTheme="minorHAnsi" w:hAnsiTheme="minorHAnsi" w:cstheme="minorHAnsi"/>
          <w:sz w:val="22"/>
          <w:szCs w:val="22"/>
        </w:rPr>
      </w:pPr>
      <w:r w:rsidRPr="00657A2D">
        <w:rPr>
          <w:rFonts w:asciiTheme="minorHAnsi" w:hAnsiTheme="minorHAnsi" w:cstheme="minorHAnsi"/>
          <w:sz w:val="22"/>
          <w:szCs w:val="22"/>
        </w:rPr>
        <w:t>Data center campuses and</w:t>
      </w:r>
      <w:r w:rsidR="00B56CCE" w:rsidRPr="00657A2D">
        <w:rPr>
          <w:rFonts w:asciiTheme="minorHAnsi" w:hAnsiTheme="minorHAnsi" w:cstheme="minorHAnsi"/>
          <w:sz w:val="22"/>
          <w:szCs w:val="22"/>
        </w:rPr>
        <w:t>/or</w:t>
      </w:r>
      <w:r w:rsidRPr="00657A2D">
        <w:rPr>
          <w:rFonts w:asciiTheme="minorHAnsi" w:hAnsiTheme="minorHAnsi" w:cstheme="minorHAnsi"/>
          <w:sz w:val="22"/>
          <w:szCs w:val="22"/>
        </w:rPr>
        <w:t xml:space="preserve"> facilities constructed after the effective date of this ordinance shall be required to meet the requirements of this </w:t>
      </w:r>
      <w:r w:rsidR="005E16BA" w:rsidRPr="00657A2D">
        <w:rPr>
          <w:rFonts w:asciiTheme="minorHAnsi" w:hAnsiTheme="minorHAnsi" w:cstheme="minorHAnsi"/>
          <w:sz w:val="22"/>
          <w:szCs w:val="22"/>
        </w:rPr>
        <w:t>ordinance</w:t>
      </w:r>
      <w:r w:rsidRPr="00657A2D">
        <w:rPr>
          <w:rFonts w:asciiTheme="minorHAnsi" w:hAnsiTheme="minorHAnsi" w:cstheme="minorHAnsi"/>
          <w:sz w:val="22"/>
          <w:szCs w:val="22"/>
        </w:rPr>
        <w:t xml:space="preserve">. </w:t>
      </w:r>
    </w:p>
    <w:p w14:paraId="3DF19094" w14:textId="0686AFE5" w:rsidR="006A15D6" w:rsidRPr="00657A2D" w:rsidRDefault="00EC5F89" w:rsidP="00BA39E9">
      <w:pPr>
        <w:pStyle w:val="ListParagraph"/>
        <w:numPr>
          <w:ilvl w:val="1"/>
          <w:numId w:val="26"/>
        </w:numPr>
        <w:rPr>
          <w:rFonts w:asciiTheme="minorHAnsi" w:hAnsiTheme="minorHAnsi" w:cstheme="minorHAnsi"/>
          <w:sz w:val="22"/>
          <w:szCs w:val="22"/>
        </w:rPr>
        <w:sectPr w:rsidR="006A15D6" w:rsidRPr="00657A2D">
          <w:headerReference w:type="default" r:id="rId13"/>
          <w:footerReference w:type="default" r:id="rId14"/>
          <w:type w:val="continuous"/>
          <w:pgSz w:w="12240" w:h="15840"/>
          <w:pgMar w:top="1440" w:right="1440" w:bottom="1440" w:left="1440" w:header="720" w:footer="720" w:gutter="0"/>
          <w:cols w:space="720"/>
        </w:sectPr>
      </w:pPr>
      <w:r w:rsidRPr="00657A2D">
        <w:rPr>
          <w:rFonts w:asciiTheme="minorHAnsi" w:hAnsiTheme="minorHAnsi" w:cstheme="minorHAnsi"/>
          <w:sz w:val="22"/>
          <w:szCs w:val="22"/>
        </w:rPr>
        <w:t xml:space="preserve">Any upgrade, modification, or structural change that materially alters the size or placement of an existing </w:t>
      </w:r>
      <w:r w:rsidR="0004545D" w:rsidRPr="00657A2D">
        <w:rPr>
          <w:rFonts w:asciiTheme="minorHAnsi" w:hAnsiTheme="minorHAnsi" w:cstheme="minorHAnsi"/>
          <w:sz w:val="22"/>
          <w:szCs w:val="22"/>
        </w:rPr>
        <w:t xml:space="preserve">data center campus and/or facility </w:t>
      </w:r>
      <w:r w:rsidRPr="00657A2D">
        <w:rPr>
          <w:rFonts w:asciiTheme="minorHAnsi" w:hAnsiTheme="minorHAnsi" w:cstheme="minorHAnsi"/>
          <w:sz w:val="22"/>
          <w:szCs w:val="22"/>
        </w:rPr>
        <w:t>shall comply with the provisions of this ordinance</w:t>
      </w:r>
      <w:r w:rsidR="00144705" w:rsidRPr="00657A2D">
        <w:rPr>
          <w:rFonts w:asciiTheme="minorHAnsi" w:hAnsiTheme="minorHAnsi" w:cstheme="minorHAnsi"/>
          <w:sz w:val="22"/>
          <w:szCs w:val="22"/>
        </w:rPr>
        <w:t>.</w:t>
      </w:r>
    </w:p>
    <w:p w14:paraId="774461F1" w14:textId="4F63346A"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863721" w:rsidRPr="00657A2D">
        <w:rPr>
          <w:rFonts w:asciiTheme="minorHAnsi" w:hAnsiTheme="minorHAnsi" w:cstheme="minorHAnsi"/>
          <w:b/>
          <w:bCs/>
          <w:sz w:val="22"/>
          <w:szCs w:val="22"/>
        </w:rPr>
        <w:t>XX</w:t>
      </w:r>
      <w:r w:rsidRPr="00657A2D">
        <w:rPr>
          <w:rFonts w:asciiTheme="minorHAnsi" w:hAnsiTheme="minorHAnsi" w:cstheme="minorHAnsi"/>
          <w:b/>
          <w:bCs/>
          <w:sz w:val="22"/>
          <w:szCs w:val="22"/>
        </w:rPr>
        <w:t>. List of definitions.</w:t>
      </w:r>
    </w:p>
    <w:p w14:paraId="01EC31C0" w14:textId="77777777" w:rsidR="00A571BA" w:rsidRPr="00657A2D" w:rsidRDefault="00EC5F89" w:rsidP="00BA39E9">
      <w:pPr>
        <w:pStyle w:val="ListParagraph"/>
        <w:numPr>
          <w:ilvl w:val="0"/>
          <w:numId w:val="29"/>
        </w:numPr>
        <w:rPr>
          <w:rFonts w:asciiTheme="minorHAnsi" w:hAnsiTheme="minorHAnsi" w:cstheme="minorHAnsi"/>
          <w:sz w:val="22"/>
          <w:szCs w:val="22"/>
        </w:rPr>
      </w:pPr>
      <w:r w:rsidRPr="00657A2D">
        <w:rPr>
          <w:rFonts w:asciiTheme="minorHAnsi" w:hAnsiTheme="minorHAnsi" w:cstheme="minorHAnsi"/>
          <w:sz w:val="22"/>
          <w:szCs w:val="22"/>
        </w:rPr>
        <w:t xml:space="preserve">Except as specifically defined herein or within article </w:t>
      </w:r>
      <w:r w:rsidR="00A571BA" w:rsidRPr="00657A2D">
        <w:rPr>
          <w:rFonts w:asciiTheme="minorHAnsi" w:hAnsiTheme="minorHAnsi" w:cstheme="minorHAnsi"/>
          <w:sz w:val="22"/>
          <w:szCs w:val="22"/>
        </w:rPr>
        <w:t>XX</w:t>
      </w:r>
      <w:r w:rsidRPr="00657A2D">
        <w:rPr>
          <w:rFonts w:asciiTheme="minorHAnsi" w:hAnsiTheme="minorHAnsi" w:cstheme="minorHAnsi"/>
          <w:sz w:val="22"/>
          <w:szCs w:val="22"/>
        </w:rPr>
        <w:t xml:space="preserve"> of these regulations, all words used in this section shall carry their customary meanings as defined in a standard dictionary. </w:t>
      </w:r>
    </w:p>
    <w:p w14:paraId="063CC05B" w14:textId="77777777" w:rsidR="00A571BA" w:rsidRPr="00657A2D" w:rsidRDefault="00EC5F89" w:rsidP="00BA39E9">
      <w:pPr>
        <w:pStyle w:val="ListParagraph"/>
        <w:numPr>
          <w:ilvl w:val="0"/>
          <w:numId w:val="29"/>
        </w:numPr>
        <w:rPr>
          <w:rFonts w:asciiTheme="minorHAnsi" w:hAnsiTheme="minorHAnsi" w:cstheme="minorHAnsi"/>
          <w:sz w:val="22"/>
          <w:szCs w:val="22"/>
        </w:rPr>
      </w:pPr>
      <w:r w:rsidRPr="00657A2D">
        <w:rPr>
          <w:rFonts w:asciiTheme="minorHAnsi" w:hAnsiTheme="minorHAnsi" w:cstheme="minorHAnsi"/>
          <w:sz w:val="22"/>
          <w:szCs w:val="22"/>
        </w:rPr>
        <w:t xml:space="preserve">For purposes of this section, the following definitions shall apply: </w:t>
      </w:r>
    </w:p>
    <w:p w14:paraId="25112016" w14:textId="5B85D95C" w:rsidR="00A571BA" w:rsidRPr="00657A2D" w:rsidRDefault="00EC5F89" w:rsidP="00BA39E9">
      <w:pPr>
        <w:pStyle w:val="ListParagraph"/>
        <w:numPr>
          <w:ilvl w:val="1"/>
          <w:numId w:val="29"/>
        </w:numPr>
        <w:rPr>
          <w:rFonts w:asciiTheme="minorHAnsi" w:hAnsiTheme="minorHAnsi" w:cstheme="minorHAnsi"/>
          <w:sz w:val="22"/>
          <w:szCs w:val="22"/>
        </w:rPr>
      </w:pPr>
      <w:r w:rsidRPr="00657A2D">
        <w:rPr>
          <w:rFonts w:asciiTheme="minorHAnsi" w:hAnsiTheme="minorHAnsi" w:cstheme="minorHAnsi"/>
          <w:sz w:val="22"/>
          <w:szCs w:val="22"/>
        </w:rPr>
        <w:t xml:space="preserve">Accessory structure. Anything constructed or erected which requires permanent location and is subordinate to a building or structure on the same lot. </w:t>
      </w:r>
    </w:p>
    <w:p w14:paraId="19C81408" w14:textId="77777777" w:rsidR="00A571BA" w:rsidRPr="00657A2D" w:rsidRDefault="00EC5F89" w:rsidP="00BA39E9">
      <w:pPr>
        <w:pStyle w:val="ListParagraph"/>
        <w:numPr>
          <w:ilvl w:val="1"/>
          <w:numId w:val="29"/>
        </w:numPr>
        <w:rPr>
          <w:rFonts w:asciiTheme="minorHAnsi" w:hAnsiTheme="minorHAnsi" w:cstheme="minorHAnsi"/>
          <w:sz w:val="22"/>
          <w:szCs w:val="22"/>
        </w:rPr>
      </w:pPr>
      <w:r w:rsidRPr="00657A2D">
        <w:rPr>
          <w:rFonts w:asciiTheme="minorHAnsi" w:hAnsiTheme="minorHAnsi" w:cstheme="minorHAnsi"/>
          <w:sz w:val="22"/>
          <w:szCs w:val="22"/>
        </w:rPr>
        <w:t xml:space="preserve">Administrative approval. Zoning approval that the director of community development is authorized to grant after administrative review. </w:t>
      </w:r>
    </w:p>
    <w:p w14:paraId="42653DC7" w14:textId="77777777" w:rsidR="00A571BA" w:rsidRPr="00657A2D" w:rsidRDefault="00EC5F89" w:rsidP="00BA39E9">
      <w:pPr>
        <w:pStyle w:val="ListParagraph"/>
        <w:numPr>
          <w:ilvl w:val="1"/>
          <w:numId w:val="29"/>
        </w:numPr>
        <w:rPr>
          <w:rFonts w:asciiTheme="minorHAnsi" w:hAnsiTheme="minorHAnsi" w:cstheme="minorHAnsi"/>
          <w:sz w:val="22"/>
          <w:szCs w:val="22"/>
        </w:rPr>
      </w:pPr>
      <w:r w:rsidRPr="00657A2D">
        <w:rPr>
          <w:rFonts w:asciiTheme="minorHAnsi" w:hAnsiTheme="minorHAnsi" w:cstheme="minorHAnsi"/>
          <w:sz w:val="22"/>
          <w:szCs w:val="22"/>
        </w:rPr>
        <w:t xml:space="preserve">Administrative review. Non-discretionary evaluation of an application by the director of community development as established herein and is not subject to a public hearing. </w:t>
      </w:r>
    </w:p>
    <w:p w14:paraId="695F3D6F" w14:textId="2F68B615" w:rsidR="00694F0D" w:rsidRPr="00657A2D" w:rsidRDefault="00694F0D" w:rsidP="00694F0D">
      <w:pPr>
        <w:pStyle w:val="ListParagraph"/>
        <w:numPr>
          <w:ilvl w:val="1"/>
          <w:numId w:val="29"/>
        </w:numPr>
        <w:rPr>
          <w:rFonts w:asciiTheme="minorHAnsi" w:hAnsiTheme="minorHAnsi" w:cstheme="minorHAnsi"/>
          <w:sz w:val="22"/>
          <w:szCs w:val="22"/>
        </w:rPr>
        <w:sectPr w:rsidR="00694F0D" w:rsidRPr="00657A2D" w:rsidSect="00694F0D">
          <w:headerReference w:type="default" r:id="rId15"/>
          <w:footerReference w:type="default" r:id="rId16"/>
          <w:type w:val="continuous"/>
          <w:pgSz w:w="12240" w:h="15840"/>
          <w:pgMar w:top="1440" w:right="1440" w:bottom="1440" w:left="1440" w:header="720" w:footer="720" w:gutter="0"/>
          <w:cols w:space="720"/>
        </w:sectPr>
      </w:pPr>
      <w:r w:rsidRPr="00657A2D">
        <w:rPr>
          <w:rFonts w:asciiTheme="minorHAnsi" w:hAnsiTheme="minorHAnsi" w:cstheme="minorHAnsi"/>
          <w:sz w:val="22"/>
          <w:szCs w:val="22"/>
        </w:rPr>
        <w:t>Cryptocurrency Mining Operation</w:t>
      </w:r>
      <w:r w:rsidR="003D0319">
        <w:rPr>
          <w:rFonts w:asciiTheme="minorHAnsi" w:hAnsiTheme="minorHAnsi" w:cstheme="minorHAnsi"/>
          <w:sz w:val="22"/>
          <w:szCs w:val="22"/>
        </w:rPr>
        <w:t xml:space="preserve">. Cryptocurrency mining operations are a unique class of </w:t>
      </w:r>
      <w:r w:rsidR="003D0319" w:rsidRPr="00657A2D">
        <w:rPr>
          <w:rFonts w:asciiTheme="minorHAnsi" w:hAnsiTheme="minorHAnsi" w:cstheme="minorHAnsi"/>
          <w:sz w:val="22"/>
          <w:szCs w:val="22"/>
        </w:rPr>
        <w:t>High-technology data center</w:t>
      </w:r>
      <w:r w:rsidR="00B8431A">
        <w:rPr>
          <w:rFonts w:asciiTheme="minorHAnsi" w:hAnsiTheme="minorHAnsi" w:cstheme="minorHAnsi"/>
          <w:sz w:val="22"/>
          <w:szCs w:val="22"/>
        </w:rPr>
        <w:t>s,</w:t>
      </w:r>
      <w:r w:rsidR="003D0319">
        <w:rPr>
          <w:rFonts w:asciiTheme="minorHAnsi" w:hAnsiTheme="minorHAnsi" w:cstheme="minorHAnsi"/>
          <w:sz w:val="22"/>
          <w:szCs w:val="22"/>
        </w:rPr>
        <w:t xml:space="preserve"> and </w:t>
      </w:r>
      <w:r w:rsidRPr="00657A2D">
        <w:rPr>
          <w:rFonts w:asciiTheme="minorHAnsi" w:hAnsiTheme="minorHAnsi" w:cstheme="minorHAnsi"/>
          <w:sz w:val="22"/>
          <w:szCs w:val="22"/>
        </w:rPr>
        <w:t>means the use of computers or specialized hardware, including but not limited to Application-Specific Integrated Circuit (ASIC) miners, to validate blockchain transactions, earn cryptocurrency, or secure a digital ledger network.</w:t>
      </w:r>
    </w:p>
    <w:p w14:paraId="09CB1BA2" w14:textId="581BAA33" w:rsidR="00A571BA" w:rsidRPr="00657A2D" w:rsidRDefault="000D2030" w:rsidP="00BA39E9">
      <w:pPr>
        <w:pStyle w:val="ListParagraph"/>
        <w:numPr>
          <w:ilvl w:val="1"/>
          <w:numId w:val="29"/>
        </w:numPr>
        <w:rPr>
          <w:rFonts w:asciiTheme="minorHAnsi" w:hAnsiTheme="minorHAnsi" w:cstheme="minorHAnsi"/>
          <w:sz w:val="22"/>
          <w:szCs w:val="22"/>
        </w:rPr>
      </w:pPr>
      <w:r w:rsidRPr="00657A2D">
        <w:rPr>
          <w:rFonts w:asciiTheme="minorHAnsi" w:hAnsiTheme="minorHAnsi" w:cstheme="minorHAnsi"/>
          <w:sz w:val="22"/>
          <w:szCs w:val="22"/>
        </w:rPr>
        <w:t>High-technology data center</w:t>
      </w:r>
      <w:r w:rsidR="00B8431A">
        <w:rPr>
          <w:rFonts w:asciiTheme="minorHAnsi" w:hAnsiTheme="minorHAnsi" w:cstheme="minorHAnsi"/>
          <w:sz w:val="22"/>
          <w:szCs w:val="22"/>
        </w:rPr>
        <w:t>.</w:t>
      </w:r>
      <w:r w:rsidR="00B56CCE" w:rsidRPr="00657A2D">
        <w:rPr>
          <w:rFonts w:asciiTheme="minorHAnsi" w:hAnsiTheme="minorHAnsi" w:cstheme="minorHAnsi"/>
          <w:sz w:val="22"/>
          <w:szCs w:val="22"/>
        </w:rPr>
        <w:t xml:space="preserve"> </w:t>
      </w:r>
      <w:proofErr w:type="gramStart"/>
      <w:r w:rsidR="00B8431A">
        <w:rPr>
          <w:rFonts w:asciiTheme="minorHAnsi" w:hAnsiTheme="minorHAnsi" w:cstheme="minorHAnsi"/>
          <w:sz w:val="22"/>
          <w:szCs w:val="22"/>
        </w:rPr>
        <w:t xml:space="preserve">A </w:t>
      </w:r>
      <w:r w:rsidR="00B8431A" w:rsidRPr="00657A2D">
        <w:rPr>
          <w:rFonts w:asciiTheme="minorHAnsi" w:hAnsiTheme="minorHAnsi" w:cstheme="minorHAnsi"/>
          <w:sz w:val="22"/>
          <w:szCs w:val="22"/>
        </w:rPr>
        <w:t xml:space="preserve">High-technology data center </w:t>
      </w:r>
      <w:r w:rsidR="00B56CCE" w:rsidRPr="00657A2D">
        <w:rPr>
          <w:rFonts w:asciiTheme="minorHAnsi" w:hAnsiTheme="minorHAnsi" w:cstheme="minorHAnsi"/>
          <w:sz w:val="22"/>
          <w:szCs w:val="22"/>
        </w:rPr>
        <w:t>or data center</w:t>
      </w:r>
      <w:r w:rsidR="00B8431A">
        <w:rPr>
          <w:rFonts w:asciiTheme="minorHAnsi" w:hAnsiTheme="minorHAnsi" w:cstheme="minorHAnsi"/>
          <w:sz w:val="22"/>
          <w:szCs w:val="22"/>
        </w:rPr>
        <w:t>,</w:t>
      </w:r>
      <w:proofErr w:type="gramEnd"/>
      <w:r w:rsidRPr="00657A2D">
        <w:rPr>
          <w:rFonts w:asciiTheme="minorHAnsi" w:hAnsiTheme="minorHAnsi" w:cstheme="minorHAnsi"/>
          <w:sz w:val="22"/>
          <w:szCs w:val="22"/>
        </w:rPr>
        <w:t xml:space="preserve"> means a facility, campus of facilities, or array of interconnected </w:t>
      </w:r>
      <w:r w:rsidR="00B8431A">
        <w:rPr>
          <w:rFonts w:asciiTheme="minorHAnsi" w:hAnsiTheme="minorHAnsi" w:cstheme="minorHAnsi"/>
          <w:sz w:val="22"/>
          <w:szCs w:val="22"/>
        </w:rPr>
        <w:t xml:space="preserve">industrial </w:t>
      </w:r>
      <w:r w:rsidRPr="00657A2D">
        <w:rPr>
          <w:rFonts w:asciiTheme="minorHAnsi" w:hAnsiTheme="minorHAnsi" w:cstheme="minorHAnsi"/>
          <w:sz w:val="22"/>
          <w:szCs w:val="22"/>
        </w:rPr>
        <w:t>facilities in this state that is developed to power, cool, secure, and connect its own equipment or the computer equipment of high-technology data center customers.</w:t>
      </w:r>
      <w:r w:rsidR="005A2040" w:rsidRPr="00657A2D">
        <w:rPr>
          <w:rFonts w:asciiTheme="minorHAnsi" w:hAnsiTheme="minorHAnsi" w:cstheme="minorHAnsi"/>
          <w:sz w:val="22"/>
          <w:szCs w:val="22"/>
        </w:rPr>
        <w:t xml:space="preserve"> [</w:t>
      </w:r>
      <w:r w:rsidR="00F71D1F" w:rsidRPr="00657A2D">
        <w:rPr>
          <w:rFonts w:asciiTheme="minorHAnsi" w:hAnsiTheme="minorHAnsi" w:cstheme="minorHAnsi"/>
          <w:sz w:val="22"/>
          <w:szCs w:val="22"/>
        </w:rPr>
        <w:t xml:space="preserve">Georgia Statute </w:t>
      </w:r>
      <w:r w:rsidR="008D79AA" w:rsidRPr="00657A2D">
        <w:rPr>
          <w:rFonts w:asciiTheme="minorHAnsi" w:hAnsiTheme="minorHAnsi" w:cstheme="minorHAnsi"/>
          <w:sz w:val="22"/>
          <w:szCs w:val="22"/>
        </w:rPr>
        <w:t>48-8-</w:t>
      </w:r>
      <w:r w:rsidR="008D79AA" w:rsidRPr="00657A2D">
        <w:rPr>
          <w:rFonts w:asciiTheme="minorHAnsi" w:hAnsiTheme="minorHAnsi" w:cstheme="minorHAnsi"/>
          <w:sz w:val="22"/>
          <w:szCs w:val="22"/>
        </w:rPr>
        <w:lastRenderedPageBreak/>
        <w:t>3(</w:t>
      </w:r>
      <w:proofErr w:type="gramStart"/>
      <w:r w:rsidR="008D79AA" w:rsidRPr="00657A2D">
        <w:rPr>
          <w:rFonts w:asciiTheme="minorHAnsi" w:hAnsiTheme="minorHAnsi" w:cstheme="minorHAnsi"/>
          <w:sz w:val="22"/>
          <w:szCs w:val="22"/>
        </w:rPr>
        <w:t>68.1)(</w:t>
      </w:r>
      <w:proofErr w:type="gramEnd"/>
      <w:r w:rsidR="008D79AA" w:rsidRPr="00657A2D">
        <w:rPr>
          <w:rFonts w:asciiTheme="minorHAnsi" w:hAnsiTheme="minorHAnsi" w:cstheme="minorHAnsi"/>
          <w:sz w:val="22"/>
          <w:szCs w:val="22"/>
        </w:rPr>
        <w:t>G)(ii)</w:t>
      </w:r>
      <w:r w:rsidR="00881D41" w:rsidRPr="00657A2D">
        <w:rPr>
          <w:rFonts w:asciiTheme="minorHAnsi" w:hAnsiTheme="minorHAnsi" w:cstheme="minorHAnsi"/>
          <w:sz w:val="22"/>
          <w:szCs w:val="22"/>
        </w:rPr>
        <w:t>]</w:t>
      </w:r>
      <w:r w:rsidR="00A85014" w:rsidRPr="00657A2D">
        <w:rPr>
          <w:rFonts w:asciiTheme="minorHAnsi" w:hAnsiTheme="minorHAnsi" w:cstheme="minorHAnsi"/>
          <w:sz w:val="22"/>
          <w:szCs w:val="22"/>
        </w:rPr>
        <w:t xml:space="preserve">. </w:t>
      </w:r>
      <w:r w:rsidR="008E7168" w:rsidRPr="00657A2D">
        <w:rPr>
          <w:rFonts w:asciiTheme="minorHAnsi" w:hAnsiTheme="minorHAnsi" w:cstheme="minorHAnsi"/>
          <w:sz w:val="22"/>
          <w:szCs w:val="22"/>
        </w:rPr>
        <w:t xml:space="preserve">A facility engaged in the storage, management, processing, or transmission of digital data, which houses computer or network equipment, systems, servers, or appliances, and other associated components related to digital data operations. </w:t>
      </w:r>
    </w:p>
    <w:p w14:paraId="6C7899F1" w14:textId="5ED4E5F7"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863721" w:rsidRPr="00657A2D">
        <w:rPr>
          <w:rFonts w:asciiTheme="minorHAnsi" w:hAnsiTheme="minorHAnsi" w:cstheme="minorHAnsi"/>
          <w:b/>
          <w:bCs/>
          <w:sz w:val="22"/>
          <w:szCs w:val="22"/>
        </w:rPr>
        <w:t>XX</w:t>
      </w:r>
      <w:r w:rsidRPr="00657A2D">
        <w:rPr>
          <w:rFonts w:asciiTheme="minorHAnsi" w:hAnsiTheme="minorHAnsi" w:cstheme="minorHAnsi"/>
          <w:b/>
          <w:bCs/>
          <w:sz w:val="22"/>
          <w:szCs w:val="22"/>
        </w:rPr>
        <w:t xml:space="preserve">. Permitting uses and approval process for </w:t>
      </w:r>
      <w:r w:rsidR="0004545D" w:rsidRPr="00657A2D">
        <w:rPr>
          <w:rFonts w:asciiTheme="minorHAnsi" w:hAnsiTheme="minorHAnsi" w:cstheme="minorHAnsi"/>
          <w:b/>
          <w:bCs/>
          <w:sz w:val="22"/>
          <w:szCs w:val="22"/>
        </w:rPr>
        <w:t xml:space="preserve">data center </w:t>
      </w:r>
      <w:r w:rsidR="0097248E" w:rsidRPr="00657A2D">
        <w:rPr>
          <w:rFonts w:asciiTheme="minorHAnsi" w:hAnsiTheme="minorHAnsi" w:cstheme="minorHAnsi"/>
          <w:b/>
          <w:bCs/>
          <w:sz w:val="22"/>
          <w:szCs w:val="22"/>
        </w:rPr>
        <w:t>campuses</w:t>
      </w:r>
      <w:r w:rsidR="0004545D" w:rsidRPr="00657A2D">
        <w:rPr>
          <w:rFonts w:asciiTheme="minorHAnsi" w:hAnsiTheme="minorHAnsi" w:cstheme="minorHAnsi"/>
          <w:b/>
          <w:bCs/>
          <w:sz w:val="22"/>
          <w:szCs w:val="22"/>
        </w:rPr>
        <w:t xml:space="preserve"> and</w:t>
      </w:r>
      <w:r w:rsidR="0097248E" w:rsidRPr="00657A2D">
        <w:rPr>
          <w:rFonts w:asciiTheme="minorHAnsi" w:hAnsiTheme="minorHAnsi" w:cstheme="minorHAnsi"/>
          <w:b/>
          <w:bCs/>
          <w:sz w:val="22"/>
          <w:szCs w:val="22"/>
        </w:rPr>
        <w:t>/or</w:t>
      </w:r>
      <w:r w:rsidR="0004545D" w:rsidRPr="00657A2D">
        <w:rPr>
          <w:rFonts w:asciiTheme="minorHAnsi" w:hAnsiTheme="minorHAnsi" w:cstheme="minorHAnsi"/>
          <w:b/>
          <w:bCs/>
          <w:sz w:val="22"/>
          <w:szCs w:val="22"/>
        </w:rPr>
        <w:t xml:space="preserve"> facilities</w:t>
      </w:r>
      <w:r w:rsidRPr="00657A2D">
        <w:rPr>
          <w:rFonts w:asciiTheme="minorHAnsi" w:hAnsiTheme="minorHAnsi" w:cstheme="minorHAnsi"/>
          <w:b/>
          <w:bCs/>
          <w:sz w:val="22"/>
          <w:szCs w:val="22"/>
        </w:rPr>
        <w:t>.</w:t>
      </w:r>
    </w:p>
    <w:p w14:paraId="6F8076C0" w14:textId="77777777" w:rsidR="00A571BA" w:rsidRPr="00657A2D" w:rsidRDefault="00EC5F89" w:rsidP="00BA39E9">
      <w:pPr>
        <w:pStyle w:val="ListParagraph"/>
        <w:numPr>
          <w:ilvl w:val="0"/>
          <w:numId w:val="30"/>
        </w:numPr>
        <w:rPr>
          <w:rFonts w:asciiTheme="minorHAnsi" w:hAnsiTheme="minorHAnsi" w:cstheme="minorHAnsi"/>
          <w:sz w:val="22"/>
          <w:szCs w:val="22"/>
        </w:rPr>
      </w:pPr>
      <w:r w:rsidRPr="00657A2D">
        <w:rPr>
          <w:rFonts w:asciiTheme="minorHAnsi" w:hAnsiTheme="minorHAnsi" w:cstheme="minorHAnsi"/>
          <w:sz w:val="22"/>
          <w:szCs w:val="22"/>
        </w:rPr>
        <w:t>Administrative review and approval.</w:t>
      </w:r>
    </w:p>
    <w:p w14:paraId="1A061F8E" w14:textId="77777777" w:rsidR="005645BF" w:rsidRPr="00657A2D" w:rsidRDefault="005F5BD2" w:rsidP="005645BF">
      <w:pPr>
        <w:pStyle w:val="ListParagraph"/>
        <w:numPr>
          <w:ilvl w:val="1"/>
          <w:numId w:val="30"/>
        </w:numPr>
        <w:rPr>
          <w:rFonts w:asciiTheme="minorHAnsi" w:hAnsiTheme="minorHAnsi" w:cstheme="minorHAnsi"/>
          <w:sz w:val="22"/>
          <w:szCs w:val="22"/>
        </w:rPr>
      </w:pPr>
      <w:r w:rsidRPr="00657A2D">
        <w:rPr>
          <w:rFonts w:asciiTheme="minorHAnsi" w:hAnsiTheme="minorHAnsi" w:cstheme="minorHAnsi"/>
          <w:sz w:val="22"/>
          <w:szCs w:val="22"/>
        </w:rPr>
        <w:t xml:space="preserve">Data center campuses and/or facilities shall </w:t>
      </w:r>
      <w:r w:rsidR="007A55A5" w:rsidRPr="00657A2D">
        <w:rPr>
          <w:rFonts w:asciiTheme="minorHAnsi" w:hAnsiTheme="minorHAnsi" w:cstheme="minorHAnsi"/>
          <w:sz w:val="22"/>
          <w:szCs w:val="22"/>
        </w:rPr>
        <w:t xml:space="preserve">only </w:t>
      </w:r>
      <w:r w:rsidRPr="00657A2D">
        <w:rPr>
          <w:rFonts w:asciiTheme="minorHAnsi" w:hAnsiTheme="minorHAnsi" w:cstheme="minorHAnsi"/>
          <w:sz w:val="22"/>
          <w:szCs w:val="22"/>
        </w:rPr>
        <w:t xml:space="preserve">be considered within M (Industrial) zoning districts, upon application to and approval by the </w:t>
      </w:r>
      <w:r w:rsidR="00494215" w:rsidRPr="00657A2D">
        <w:rPr>
          <w:rFonts w:asciiTheme="minorHAnsi" w:hAnsiTheme="minorHAnsi" w:cstheme="minorHAnsi"/>
          <w:sz w:val="22"/>
          <w:szCs w:val="22"/>
        </w:rPr>
        <w:t>[city council/</w:t>
      </w:r>
      <w:r w:rsidRPr="00657A2D">
        <w:rPr>
          <w:rFonts w:asciiTheme="minorHAnsi" w:hAnsiTheme="minorHAnsi" w:cstheme="minorHAnsi"/>
          <w:sz w:val="22"/>
          <w:szCs w:val="22"/>
        </w:rPr>
        <w:t>board of commissioners</w:t>
      </w:r>
      <w:r w:rsidR="00494215" w:rsidRPr="00657A2D">
        <w:rPr>
          <w:rFonts w:asciiTheme="minorHAnsi" w:hAnsiTheme="minorHAnsi" w:cstheme="minorHAnsi"/>
          <w:sz w:val="22"/>
          <w:szCs w:val="22"/>
        </w:rPr>
        <w:t>]</w:t>
      </w:r>
      <w:r w:rsidRPr="00657A2D">
        <w:rPr>
          <w:rFonts w:asciiTheme="minorHAnsi" w:hAnsiTheme="minorHAnsi" w:cstheme="minorHAnsi"/>
          <w:sz w:val="22"/>
          <w:szCs w:val="22"/>
        </w:rPr>
        <w:t>, in accordance with the provisions identified herein</w:t>
      </w:r>
      <w:r w:rsidR="005645BF" w:rsidRPr="00657A2D">
        <w:rPr>
          <w:rFonts w:asciiTheme="minorHAnsi" w:hAnsiTheme="minorHAnsi" w:cstheme="minorHAnsi"/>
          <w:sz w:val="22"/>
          <w:szCs w:val="22"/>
        </w:rPr>
        <w:t>.</w:t>
      </w:r>
    </w:p>
    <w:p w14:paraId="0BA31836" w14:textId="1DE63559" w:rsidR="00B600DC" w:rsidRPr="00657A2D" w:rsidRDefault="005645BF" w:rsidP="00A82F88">
      <w:pPr>
        <w:pStyle w:val="ListParagraph"/>
        <w:numPr>
          <w:ilvl w:val="1"/>
          <w:numId w:val="30"/>
        </w:numPr>
        <w:rPr>
          <w:rFonts w:asciiTheme="minorHAnsi" w:hAnsiTheme="minorHAnsi" w:cstheme="minorHAnsi"/>
          <w:sz w:val="22"/>
          <w:szCs w:val="22"/>
        </w:rPr>
        <w:sectPr w:rsidR="00B600DC" w:rsidRPr="00657A2D">
          <w:headerReference w:type="default" r:id="rId17"/>
          <w:footerReference w:type="default" r:id="rId18"/>
          <w:type w:val="continuous"/>
          <w:pgSz w:w="12240" w:h="15840"/>
          <w:pgMar w:top="1440" w:right="1440" w:bottom="1440" w:left="1440" w:header="720" w:footer="720" w:gutter="0"/>
          <w:cols w:space="720"/>
        </w:sectPr>
      </w:pPr>
      <w:r w:rsidRPr="00657A2D">
        <w:rPr>
          <w:rFonts w:asciiTheme="minorHAnsi" w:hAnsiTheme="minorHAnsi" w:cstheme="minorHAnsi"/>
          <w:sz w:val="22"/>
          <w:szCs w:val="22"/>
        </w:rPr>
        <w:t>No person, entity, or organization shall establish or operate a cryptocurrency mining operation within the boundaries of [City/County Government Name]</w:t>
      </w:r>
      <w:r w:rsidR="00A236E6" w:rsidRPr="00657A2D">
        <w:rPr>
          <w:rFonts w:asciiTheme="minorHAnsi" w:hAnsiTheme="minorHAnsi" w:cstheme="minorHAnsi"/>
          <w:sz w:val="22"/>
          <w:szCs w:val="22"/>
        </w:rPr>
        <w:t>.</w:t>
      </w:r>
    </w:p>
    <w:p w14:paraId="0AE48CFD" w14:textId="263E048C"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4277E6" w:rsidRPr="00657A2D">
        <w:rPr>
          <w:rFonts w:asciiTheme="minorHAnsi" w:hAnsiTheme="minorHAnsi" w:cstheme="minorHAnsi"/>
          <w:b/>
          <w:bCs/>
          <w:sz w:val="22"/>
          <w:szCs w:val="22"/>
        </w:rPr>
        <w:t>XX</w:t>
      </w:r>
      <w:r w:rsidRPr="00657A2D">
        <w:rPr>
          <w:rFonts w:asciiTheme="minorHAnsi" w:hAnsiTheme="minorHAnsi" w:cstheme="minorHAnsi"/>
          <w:b/>
          <w:bCs/>
          <w:sz w:val="22"/>
          <w:szCs w:val="22"/>
        </w:rPr>
        <w:t xml:space="preserve">. Submittal requirements applicable to all </w:t>
      </w:r>
      <w:r w:rsidR="002B6453" w:rsidRPr="00657A2D">
        <w:rPr>
          <w:rFonts w:asciiTheme="minorHAnsi" w:hAnsiTheme="minorHAnsi" w:cstheme="minorHAnsi"/>
          <w:b/>
          <w:bCs/>
          <w:sz w:val="22"/>
          <w:szCs w:val="22"/>
        </w:rPr>
        <w:t xml:space="preserve">new </w:t>
      </w:r>
      <w:r w:rsidRPr="00657A2D">
        <w:rPr>
          <w:rFonts w:asciiTheme="minorHAnsi" w:hAnsiTheme="minorHAnsi" w:cstheme="minorHAnsi"/>
          <w:b/>
          <w:bCs/>
          <w:sz w:val="22"/>
          <w:szCs w:val="22"/>
        </w:rPr>
        <w:t>applications.</w:t>
      </w:r>
    </w:p>
    <w:p w14:paraId="7D017051" w14:textId="1136AE97" w:rsidR="006A15D6" w:rsidRPr="00657A2D" w:rsidRDefault="00EC5F89" w:rsidP="00BA39E9">
      <w:pPr>
        <w:rPr>
          <w:rFonts w:asciiTheme="minorHAnsi" w:hAnsiTheme="minorHAnsi" w:cstheme="minorHAnsi"/>
          <w:sz w:val="22"/>
          <w:szCs w:val="22"/>
        </w:rPr>
      </w:pPr>
      <w:r w:rsidRPr="00657A2D">
        <w:rPr>
          <w:rFonts w:asciiTheme="minorHAnsi" w:hAnsiTheme="minorHAnsi" w:cstheme="minorHAnsi"/>
          <w:sz w:val="22"/>
          <w:szCs w:val="22"/>
        </w:rPr>
        <w:t xml:space="preserve">The information below shall be provided as a part of each application for </w:t>
      </w:r>
      <w:r w:rsidR="00962970" w:rsidRPr="00657A2D">
        <w:rPr>
          <w:rFonts w:asciiTheme="minorHAnsi" w:hAnsiTheme="minorHAnsi" w:cstheme="minorHAnsi"/>
          <w:sz w:val="22"/>
          <w:szCs w:val="22"/>
        </w:rPr>
        <w:t>data center campuses and/or facilities</w:t>
      </w:r>
      <w:r w:rsidRPr="00657A2D">
        <w:rPr>
          <w:rFonts w:asciiTheme="minorHAnsi" w:hAnsiTheme="minorHAnsi" w:cstheme="minorHAnsi"/>
          <w:sz w:val="22"/>
          <w:szCs w:val="22"/>
        </w:rPr>
        <w:t xml:space="preserve">: </w:t>
      </w:r>
    </w:p>
    <w:p w14:paraId="1292059F" w14:textId="5332A6AE" w:rsidR="00B463EA" w:rsidRPr="00657A2D" w:rsidRDefault="00EC5F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Application fees. As set forth in appendix </w:t>
      </w:r>
      <w:r w:rsidR="00A7465A" w:rsidRPr="00657A2D">
        <w:rPr>
          <w:rFonts w:asciiTheme="minorHAnsi" w:hAnsiTheme="minorHAnsi" w:cstheme="minorHAnsi"/>
          <w:sz w:val="22"/>
          <w:szCs w:val="22"/>
        </w:rPr>
        <w:t>XX</w:t>
      </w:r>
      <w:r w:rsidRPr="00657A2D">
        <w:rPr>
          <w:rFonts w:asciiTheme="minorHAnsi" w:hAnsiTheme="minorHAnsi" w:cstheme="minorHAnsi"/>
          <w:sz w:val="22"/>
          <w:szCs w:val="22"/>
        </w:rPr>
        <w:t xml:space="preserve">, appendix—fee schedule. </w:t>
      </w:r>
    </w:p>
    <w:p w14:paraId="069D0059" w14:textId="1C0AEE19" w:rsidR="00B463EA" w:rsidRPr="00657A2D" w:rsidRDefault="00EC5F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Permit fees. As set forth in </w:t>
      </w:r>
      <w:r w:rsidR="001810BD" w:rsidRPr="00657A2D">
        <w:rPr>
          <w:rFonts w:asciiTheme="minorHAnsi" w:hAnsiTheme="minorHAnsi" w:cstheme="minorHAnsi"/>
          <w:sz w:val="22"/>
          <w:szCs w:val="22"/>
        </w:rPr>
        <w:t>XX</w:t>
      </w:r>
      <w:r w:rsidRPr="00657A2D">
        <w:rPr>
          <w:rFonts w:asciiTheme="minorHAnsi" w:hAnsiTheme="minorHAnsi" w:cstheme="minorHAnsi"/>
          <w:sz w:val="22"/>
          <w:szCs w:val="22"/>
        </w:rPr>
        <w:t xml:space="preserve">. </w:t>
      </w:r>
    </w:p>
    <w:p w14:paraId="1E981E84" w14:textId="77777777" w:rsidR="00B463EA" w:rsidRPr="00657A2D" w:rsidRDefault="0002692F"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Property survey. A certificate from a Georgia registered land surveyor showing a scale drawing of the location of the principal building(s), accessory structure(s), septic fields, wetlands, existing streams and associated buffers, floodplain and other features. </w:t>
      </w:r>
    </w:p>
    <w:p w14:paraId="171A1033" w14:textId="77777777" w:rsidR="00B463EA" w:rsidRPr="00657A2D" w:rsidRDefault="00EC5F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Site plan. A detailed site plan identifying the location and dimensions of existing and/or proposed structures,</w:t>
      </w:r>
      <w:r w:rsidR="00D04477" w:rsidRPr="00657A2D">
        <w:rPr>
          <w:rFonts w:asciiTheme="minorHAnsi" w:hAnsiTheme="minorHAnsi" w:cstheme="minorHAnsi"/>
          <w:sz w:val="22"/>
          <w:szCs w:val="22"/>
        </w:rPr>
        <w:t xml:space="preserve"> set-backs,</w:t>
      </w:r>
      <w:r w:rsidR="003A3091" w:rsidRPr="00657A2D">
        <w:rPr>
          <w:rFonts w:asciiTheme="minorHAnsi" w:hAnsiTheme="minorHAnsi" w:cstheme="minorHAnsi"/>
          <w:sz w:val="22"/>
          <w:szCs w:val="22"/>
        </w:rPr>
        <w:t xml:space="preserve"> buffers,</w:t>
      </w:r>
      <w:r w:rsidRPr="00657A2D">
        <w:rPr>
          <w:rFonts w:asciiTheme="minorHAnsi" w:hAnsiTheme="minorHAnsi" w:cstheme="minorHAnsi"/>
          <w:sz w:val="22"/>
          <w:szCs w:val="22"/>
        </w:rPr>
        <w:t xml:space="preserve"> driveways, parking areas, accessory structures, </w:t>
      </w:r>
      <w:r w:rsidR="00304673" w:rsidRPr="00657A2D">
        <w:rPr>
          <w:rFonts w:asciiTheme="minorHAnsi" w:hAnsiTheme="minorHAnsi" w:cstheme="minorHAnsi"/>
          <w:sz w:val="22"/>
          <w:szCs w:val="22"/>
        </w:rPr>
        <w:t xml:space="preserve">substations, </w:t>
      </w:r>
      <w:r w:rsidRPr="00657A2D">
        <w:rPr>
          <w:rFonts w:asciiTheme="minorHAnsi" w:hAnsiTheme="minorHAnsi" w:cstheme="minorHAnsi"/>
          <w:sz w:val="22"/>
          <w:szCs w:val="22"/>
        </w:rPr>
        <w:t xml:space="preserve">transmission lines, </w:t>
      </w:r>
      <w:r w:rsidR="009445FA" w:rsidRPr="00657A2D">
        <w:rPr>
          <w:rFonts w:asciiTheme="minorHAnsi" w:hAnsiTheme="minorHAnsi" w:cstheme="minorHAnsi"/>
          <w:sz w:val="22"/>
          <w:szCs w:val="22"/>
        </w:rPr>
        <w:t>backup energy sources (i.e. generators</w:t>
      </w:r>
      <w:r w:rsidR="005801B6" w:rsidRPr="00657A2D">
        <w:rPr>
          <w:rFonts w:asciiTheme="minorHAnsi" w:hAnsiTheme="minorHAnsi" w:cstheme="minorHAnsi"/>
          <w:sz w:val="22"/>
          <w:szCs w:val="22"/>
        </w:rPr>
        <w:t>, fuel storage, etc.</w:t>
      </w:r>
      <w:r w:rsidR="009445FA" w:rsidRPr="00657A2D">
        <w:rPr>
          <w:rFonts w:asciiTheme="minorHAnsi" w:hAnsiTheme="minorHAnsi" w:cstheme="minorHAnsi"/>
          <w:sz w:val="22"/>
          <w:szCs w:val="22"/>
        </w:rPr>
        <w:t>)</w:t>
      </w:r>
      <w:r w:rsidR="005801B6" w:rsidRPr="00657A2D">
        <w:rPr>
          <w:rFonts w:asciiTheme="minorHAnsi" w:hAnsiTheme="minorHAnsi" w:cstheme="minorHAnsi"/>
          <w:sz w:val="22"/>
          <w:szCs w:val="22"/>
        </w:rPr>
        <w:t>,</w:t>
      </w:r>
      <w:r w:rsidR="009445FA" w:rsidRPr="00657A2D">
        <w:rPr>
          <w:rFonts w:asciiTheme="minorHAnsi" w:hAnsiTheme="minorHAnsi" w:cstheme="minorHAnsi"/>
          <w:sz w:val="22"/>
          <w:szCs w:val="22"/>
        </w:rPr>
        <w:t xml:space="preserve"> </w:t>
      </w:r>
      <w:r w:rsidRPr="00657A2D">
        <w:rPr>
          <w:rFonts w:asciiTheme="minorHAnsi" w:hAnsiTheme="minorHAnsi" w:cstheme="minorHAnsi"/>
          <w:sz w:val="22"/>
          <w:szCs w:val="22"/>
        </w:rPr>
        <w:t xml:space="preserve">existing vegetation, </w:t>
      </w:r>
      <w:r w:rsidR="00FE6FCF" w:rsidRPr="00657A2D">
        <w:rPr>
          <w:rFonts w:asciiTheme="minorHAnsi" w:hAnsiTheme="minorHAnsi" w:cstheme="minorHAnsi"/>
          <w:sz w:val="22"/>
          <w:szCs w:val="22"/>
        </w:rPr>
        <w:t xml:space="preserve">utilities, </w:t>
      </w:r>
      <w:r w:rsidRPr="00657A2D">
        <w:rPr>
          <w:rFonts w:asciiTheme="minorHAnsi" w:hAnsiTheme="minorHAnsi" w:cstheme="minorHAnsi"/>
          <w:sz w:val="22"/>
          <w:szCs w:val="22"/>
        </w:rPr>
        <w:t xml:space="preserve">and the location of proposed site improvements to include, but not be limited to: </w:t>
      </w:r>
      <w:r w:rsidR="00CC53B5" w:rsidRPr="00657A2D">
        <w:rPr>
          <w:rFonts w:asciiTheme="minorHAnsi" w:hAnsiTheme="minorHAnsi" w:cstheme="minorHAnsi"/>
          <w:sz w:val="22"/>
          <w:szCs w:val="22"/>
        </w:rPr>
        <w:t xml:space="preserve">data center </w:t>
      </w:r>
      <w:r w:rsidR="00304673" w:rsidRPr="00657A2D">
        <w:rPr>
          <w:rFonts w:asciiTheme="minorHAnsi" w:hAnsiTheme="minorHAnsi" w:cstheme="minorHAnsi"/>
          <w:sz w:val="22"/>
          <w:szCs w:val="22"/>
        </w:rPr>
        <w:t xml:space="preserve">halls, </w:t>
      </w:r>
      <w:r w:rsidRPr="00657A2D">
        <w:rPr>
          <w:rFonts w:asciiTheme="minorHAnsi" w:hAnsiTheme="minorHAnsi" w:cstheme="minorHAnsi"/>
          <w:sz w:val="22"/>
          <w:szCs w:val="22"/>
        </w:rPr>
        <w:t xml:space="preserve">ancillary equipment, screening, fencing and buffer vegetation. The site plan shall also include the location of any residences within 250 feet of the perimeter of the property, </w:t>
      </w:r>
      <w:r w:rsidR="00FE6FCF" w:rsidRPr="00657A2D">
        <w:rPr>
          <w:rFonts w:asciiTheme="minorHAnsi" w:hAnsiTheme="minorHAnsi" w:cstheme="minorHAnsi"/>
          <w:sz w:val="22"/>
          <w:szCs w:val="22"/>
        </w:rPr>
        <w:t xml:space="preserve">and </w:t>
      </w:r>
      <w:r w:rsidRPr="00657A2D">
        <w:rPr>
          <w:rFonts w:asciiTheme="minorHAnsi" w:hAnsiTheme="minorHAnsi" w:cstheme="minorHAnsi"/>
          <w:sz w:val="22"/>
          <w:szCs w:val="22"/>
        </w:rPr>
        <w:t xml:space="preserve">the location of any proposed access easements. </w:t>
      </w:r>
    </w:p>
    <w:p w14:paraId="5F161B58" w14:textId="77777777" w:rsidR="00B463EA" w:rsidRPr="00657A2D" w:rsidRDefault="00EC5F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Elevation sketch. A </w:t>
      </w:r>
      <w:proofErr w:type="gramStart"/>
      <w:r w:rsidRPr="00657A2D">
        <w:rPr>
          <w:rFonts w:asciiTheme="minorHAnsi" w:hAnsiTheme="minorHAnsi" w:cstheme="minorHAnsi"/>
          <w:sz w:val="22"/>
          <w:szCs w:val="22"/>
        </w:rPr>
        <w:t>drawing illustrating</w:t>
      </w:r>
      <w:proofErr w:type="gramEnd"/>
      <w:r w:rsidRPr="00657A2D">
        <w:rPr>
          <w:rFonts w:asciiTheme="minorHAnsi" w:hAnsiTheme="minorHAnsi" w:cstheme="minorHAnsi"/>
          <w:sz w:val="22"/>
          <w:szCs w:val="22"/>
        </w:rPr>
        <w:t xml:space="preserve"> the height and orientation of </w:t>
      </w:r>
      <w:r w:rsidR="00184758" w:rsidRPr="00657A2D">
        <w:rPr>
          <w:rFonts w:asciiTheme="minorHAnsi" w:hAnsiTheme="minorHAnsi" w:cstheme="minorHAnsi"/>
          <w:sz w:val="22"/>
          <w:szCs w:val="22"/>
        </w:rPr>
        <w:t>all buildings, transmission</w:t>
      </w:r>
      <w:r w:rsidR="001A0AA2" w:rsidRPr="00657A2D">
        <w:rPr>
          <w:rFonts w:asciiTheme="minorHAnsi" w:hAnsiTheme="minorHAnsi" w:cstheme="minorHAnsi"/>
          <w:sz w:val="22"/>
          <w:szCs w:val="22"/>
        </w:rPr>
        <w:t>, generation, and other structures</w:t>
      </w:r>
      <w:r w:rsidRPr="00657A2D">
        <w:rPr>
          <w:rFonts w:asciiTheme="minorHAnsi" w:hAnsiTheme="minorHAnsi" w:cstheme="minorHAnsi"/>
          <w:sz w:val="22"/>
          <w:szCs w:val="22"/>
        </w:rPr>
        <w:t xml:space="preserve">. </w:t>
      </w:r>
    </w:p>
    <w:p w14:paraId="167E2DF2" w14:textId="76AB225E" w:rsidR="00B463EA" w:rsidRPr="00657A2D" w:rsidRDefault="00EC5F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Noise evaluation report. A noise evaluation </w:t>
      </w:r>
      <w:r w:rsidR="00A30EBC" w:rsidRPr="00657A2D">
        <w:rPr>
          <w:rFonts w:asciiTheme="minorHAnsi" w:hAnsiTheme="minorHAnsi" w:cstheme="minorHAnsi"/>
          <w:sz w:val="22"/>
          <w:szCs w:val="22"/>
        </w:rPr>
        <w:t xml:space="preserve">and </w:t>
      </w:r>
      <w:r w:rsidR="004D6075" w:rsidRPr="00657A2D">
        <w:rPr>
          <w:rFonts w:asciiTheme="minorHAnsi" w:hAnsiTheme="minorHAnsi" w:cstheme="minorHAnsi"/>
          <w:sz w:val="22"/>
          <w:szCs w:val="22"/>
        </w:rPr>
        <w:t xml:space="preserve">sound modeling report </w:t>
      </w:r>
      <w:r w:rsidRPr="00657A2D">
        <w:rPr>
          <w:rFonts w:asciiTheme="minorHAnsi" w:hAnsiTheme="minorHAnsi" w:cstheme="minorHAnsi"/>
          <w:sz w:val="22"/>
          <w:szCs w:val="22"/>
        </w:rPr>
        <w:t xml:space="preserve">for each </w:t>
      </w:r>
      <w:r w:rsidR="008F0127" w:rsidRPr="00657A2D">
        <w:rPr>
          <w:rFonts w:asciiTheme="minorHAnsi" w:hAnsiTheme="minorHAnsi" w:cstheme="minorHAnsi"/>
          <w:sz w:val="22"/>
          <w:szCs w:val="22"/>
        </w:rPr>
        <w:t xml:space="preserve">data center facility, </w:t>
      </w:r>
      <w:r w:rsidRPr="00657A2D">
        <w:rPr>
          <w:rFonts w:asciiTheme="minorHAnsi" w:hAnsiTheme="minorHAnsi" w:cstheme="minorHAnsi"/>
          <w:sz w:val="22"/>
          <w:szCs w:val="22"/>
        </w:rPr>
        <w:t xml:space="preserve">substation or </w:t>
      </w:r>
      <w:r w:rsidR="008F0127" w:rsidRPr="00657A2D">
        <w:rPr>
          <w:rFonts w:asciiTheme="minorHAnsi" w:hAnsiTheme="minorHAnsi" w:cstheme="minorHAnsi"/>
          <w:sz w:val="22"/>
          <w:szCs w:val="22"/>
        </w:rPr>
        <w:t xml:space="preserve">other associated </w:t>
      </w:r>
      <w:r w:rsidRPr="00657A2D">
        <w:rPr>
          <w:rFonts w:asciiTheme="minorHAnsi" w:hAnsiTheme="minorHAnsi" w:cstheme="minorHAnsi"/>
          <w:sz w:val="22"/>
          <w:szCs w:val="22"/>
        </w:rPr>
        <w:t xml:space="preserve">facility that emits noise in the project. The report shall state, at minimum, the daytime and nighttime base-line noise level at a point on the property line closest to the primary dwelling on an adjoining non-participating parcel; the potential noise level generated by </w:t>
      </w:r>
      <w:r w:rsidR="00FF1EE4" w:rsidRPr="00657A2D">
        <w:rPr>
          <w:rFonts w:asciiTheme="minorHAnsi" w:hAnsiTheme="minorHAnsi" w:cstheme="minorHAnsi"/>
          <w:sz w:val="22"/>
          <w:szCs w:val="22"/>
        </w:rPr>
        <w:t xml:space="preserve">each data center facility, substation or other associated facility </w:t>
      </w:r>
      <w:r w:rsidRPr="00657A2D">
        <w:rPr>
          <w:rFonts w:asciiTheme="minorHAnsi" w:hAnsiTheme="minorHAnsi" w:cstheme="minorHAnsi"/>
          <w:sz w:val="22"/>
          <w:szCs w:val="22"/>
        </w:rPr>
        <w:t xml:space="preserve">associated with the project; and the manufacturer's technical documentation </w:t>
      </w:r>
      <w:r w:rsidR="00BB4DB3" w:rsidRPr="00657A2D">
        <w:rPr>
          <w:rFonts w:asciiTheme="minorHAnsi" w:hAnsiTheme="minorHAnsi" w:cstheme="minorHAnsi"/>
          <w:sz w:val="22"/>
          <w:szCs w:val="22"/>
        </w:rPr>
        <w:t xml:space="preserve">for each data center facility, substation or other associated facility </w:t>
      </w:r>
      <w:r w:rsidRPr="00657A2D">
        <w:rPr>
          <w:rFonts w:asciiTheme="minorHAnsi" w:hAnsiTheme="minorHAnsi" w:cstheme="minorHAnsi"/>
          <w:sz w:val="22"/>
          <w:szCs w:val="22"/>
        </w:rPr>
        <w:t xml:space="preserve">equipment noise levels. The noise evaluation report shall include the projected maximum levels </w:t>
      </w:r>
      <w:r w:rsidR="00B027F9" w:rsidRPr="00657A2D">
        <w:rPr>
          <w:rFonts w:asciiTheme="minorHAnsi" w:hAnsiTheme="minorHAnsi" w:cstheme="minorHAnsi"/>
          <w:sz w:val="22"/>
          <w:szCs w:val="22"/>
        </w:rPr>
        <w:t>of high and low freque</w:t>
      </w:r>
      <w:r w:rsidR="005C28A3" w:rsidRPr="00657A2D">
        <w:rPr>
          <w:rFonts w:asciiTheme="minorHAnsi" w:hAnsiTheme="minorHAnsi" w:cstheme="minorHAnsi"/>
          <w:sz w:val="22"/>
          <w:szCs w:val="22"/>
        </w:rPr>
        <w:t xml:space="preserve">ncies: projected </w:t>
      </w:r>
      <w:r w:rsidR="003F30E2" w:rsidRPr="00657A2D">
        <w:rPr>
          <w:rFonts w:asciiTheme="minorHAnsi" w:hAnsiTheme="minorHAnsi" w:cstheme="minorHAnsi"/>
          <w:sz w:val="22"/>
          <w:szCs w:val="22"/>
        </w:rPr>
        <w:t xml:space="preserve">maximum levels </w:t>
      </w:r>
      <w:r w:rsidRPr="00657A2D">
        <w:rPr>
          <w:rFonts w:asciiTheme="minorHAnsi" w:hAnsiTheme="minorHAnsi" w:cstheme="minorHAnsi"/>
          <w:sz w:val="22"/>
          <w:szCs w:val="22"/>
        </w:rPr>
        <w:t xml:space="preserve">of infrasonic sound, ultrasonic sound, impulsive noise and prominent discrete tones generated and measured at a point on the property line closest to the primary dwelling on an adjoining nonparticipating parcel. The report shall include a map depicting the noise study area radius, project boundaries, sound level monitoring locations and the nearest receptor locations. The </w:t>
      </w:r>
      <w:r w:rsidRPr="00657A2D">
        <w:rPr>
          <w:rFonts w:asciiTheme="minorHAnsi" w:hAnsiTheme="minorHAnsi" w:cstheme="minorHAnsi"/>
          <w:sz w:val="22"/>
          <w:szCs w:val="22"/>
        </w:rPr>
        <w:lastRenderedPageBreak/>
        <w:t xml:space="preserve">noise evaluation report shall include any potential mitigation actions to ensure that sound level does not exceed </w:t>
      </w:r>
      <w:r w:rsidRPr="00657A2D">
        <w:rPr>
          <w:rFonts w:asciiTheme="minorHAnsi" w:hAnsiTheme="minorHAnsi" w:cstheme="minorHAnsi"/>
          <w:sz w:val="22"/>
          <w:szCs w:val="22"/>
          <w:highlight w:val="yellow"/>
        </w:rPr>
        <w:t>4</w:t>
      </w:r>
      <w:r w:rsidR="000D2CB0" w:rsidRPr="00657A2D">
        <w:rPr>
          <w:rFonts w:asciiTheme="minorHAnsi" w:hAnsiTheme="minorHAnsi" w:cstheme="minorHAnsi"/>
          <w:sz w:val="22"/>
          <w:szCs w:val="22"/>
          <w:highlight w:val="yellow"/>
        </w:rPr>
        <w:t>0</w:t>
      </w:r>
      <w:r w:rsidRPr="00657A2D">
        <w:rPr>
          <w:rFonts w:asciiTheme="minorHAnsi" w:hAnsiTheme="minorHAnsi" w:cstheme="minorHAnsi"/>
          <w:sz w:val="22"/>
          <w:szCs w:val="22"/>
          <w:highlight w:val="yellow"/>
        </w:rPr>
        <w:t>dBA</w:t>
      </w:r>
      <w:r w:rsidRPr="00657A2D">
        <w:rPr>
          <w:rFonts w:asciiTheme="minorHAnsi" w:hAnsiTheme="minorHAnsi" w:cstheme="minorHAnsi"/>
          <w:sz w:val="22"/>
          <w:szCs w:val="22"/>
        </w:rPr>
        <w:t xml:space="preserve"> as measured at the property line point(s). </w:t>
      </w:r>
      <w:r w:rsidR="00C654DD">
        <w:rPr>
          <w:rFonts w:asciiTheme="minorHAnsi" w:hAnsiTheme="minorHAnsi" w:cstheme="minorHAnsi"/>
          <w:sz w:val="22"/>
          <w:szCs w:val="22"/>
        </w:rPr>
        <w:t xml:space="preserve">The report </w:t>
      </w:r>
      <w:proofErr w:type="gramStart"/>
      <w:r w:rsidR="00946EFC">
        <w:rPr>
          <w:rFonts w:asciiTheme="minorHAnsi" w:hAnsiTheme="minorHAnsi" w:cstheme="minorHAnsi"/>
          <w:sz w:val="22"/>
          <w:szCs w:val="22"/>
        </w:rPr>
        <w:t>shall</w:t>
      </w:r>
      <w:proofErr w:type="gramEnd"/>
      <w:r w:rsidR="00946EFC">
        <w:rPr>
          <w:rFonts w:asciiTheme="minorHAnsi" w:hAnsiTheme="minorHAnsi" w:cstheme="minorHAnsi"/>
          <w:sz w:val="22"/>
          <w:szCs w:val="22"/>
        </w:rPr>
        <w:t xml:space="preserve"> be completed and available to the public prior to the first community</w:t>
      </w:r>
      <w:r w:rsidR="004B7531">
        <w:rPr>
          <w:rFonts w:asciiTheme="minorHAnsi" w:hAnsiTheme="minorHAnsi" w:cstheme="minorHAnsi"/>
          <w:sz w:val="22"/>
          <w:szCs w:val="22"/>
        </w:rPr>
        <w:t xml:space="preserve"> meeting.</w:t>
      </w:r>
    </w:p>
    <w:p w14:paraId="709A7D88" w14:textId="24D81914" w:rsidR="00293734" w:rsidRPr="00657A2D" w:rsidRDefault="00632A89" w:rsidP="000F7D3B">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Water consumption plan: </w:t>
      </w:r>
      <w:r w:rsidR="00293734" w:rsidRPr="00657A2D">
        <w:rPr>
          <w:rFonts w:asciiTheme="minorHAnsi" w:hAnsiTheme="minorHAnsi" w:cstheme="minorHAnsi"/>
          <w:sz w:val="22"/>
          <w:szCs w:val="22"/>
        </w:rPr>
        <w:t>The plan will</w:t>
      </w:r>
    </w:p>
    <w:p w14:paraId="1E64F56B" w14:textId="77777777" w:rsidR="006F0F72" w:rsidRPr="00657A2D" w:rsidRDefault="00293734" w:rsidP="00293734">
      <w:pPr>
        <w:pStyle w:val="ListParagraph"/>
        <w:numPr>
          <w:ilvl w:val="1"/>
          <w:numId w:val="23"/>
        </w:numPr>
        <w:rPr>
          <w:rFonts w:asciiTheme="minorHAnsi" w:hAnsiTheme="minorHAnsi" w:cstheme="minorHAnsi"/>
          <w:sz w:val="22"/>
          <w:szCs w:val="22"/>
        </w:rPr>
      </w:pPr>
      <w:r w:rsidRPr="00657A2D">
        <w:rPr>
          <w:rFonts w:asciiTheme="minorHAnsi" w:hAnsiTheme="minorHAnsi" w:cstheme="minorHAnsi"/>
          <w:sz w:val="22"/>
          <w:szCs w:val="22"/>
        </w:rPr>
        <w:t>O</w:t>
      </w:r>
      <w:r w:rsidR="00632A89" w:rsidRPr="00657A2D">
        <w:rPr>
          <w:rFonts w:asciiTheme="minorHAnsi" w:hAnsiTheme="minorHAnsi" w:cstheme="minorHAnsi"/>
          <w:sz w:val="22"/>
          <w:szCs w:val="22"/>
        </w:rPr>
        <w:t>utlin</w:t>
      </w:r>
      <w:r w:rsidRPr="00657A2D">
        <w:rPr>
          <w:rFonts w:asciiTheme="minorHAnsi" w:hAnsiTheme="minorHAnsi" w:cstheme="minorHAnsi"/>
          <w:sz w:val="22"/>
          <w:szCs w:val="22"/>
        </w:rPr>
        <w:t>e</w:t>
      </w:r>
      <w:r w:rsidR="000F7D3B" w:rsidRPr="00657A2D">
        <w:rPr>
          <w:rFonts w:asciiTheme="minorHAnsi" w:hAnsiTheme="minorHAnsi" w:cstheme="minorHAnsi"/>
          <w:sz w:val="22"/>
          <w:szCs w:val="22"/>
        </w:rPr>
        <w:t xml:space="preserve"> </w:t>
      </w:r>
      <w:r w:rsidR="00632A89" w:rsidRPr="00657A2D">
        <w:rPr>
          <w:rFonts w:asciiTheme="minorHAnsi" w:hAnsiTheme="minorHAnsi" w:cstheme="minorHAnsi"/>
          <w:sz w:val="22"/>
          <w:szCs w:val="22"/>
        </w:rPr>
        <w:t xml:space="preserve">the total water </w:t>
      </w:r>
      <w:proofErr w:type="gramStart"/>
      <w:r w:rsidR="00632A89" w:rsidRPr="00657A2D">
        <w:rPr>
          <w:rFonts w:asciiTheme="minorHAnsi" w:hAnsiTheme="minorHAnsi" w:cstheme="minorHAnsi"/>
          <w:sz w:val="22"/>
          <w:szCs w:val="22"/>
        </w:rPr>
        <w:t>requirements</w:t>
      </w:r>
      <w:r w:rsidR="001F3C55" w:rsidRPr="00657A2D">
        <w:rPr>
          <w:rFonts w:asciiTheme="minorHAnsi" w:hAnsiTheme="minorHAnsi" w:cstheme="minorHAnsi"/>
          <w:sz w:val="22"/>
          <w:szCs w:val="22"/>
        </w:rPr>
        <w:t>—</w:t>
      </w:r>
      <w:proofErr w:type="gramEnd"/>
      <w:r w:rsidR="007A2FBA" w:rsidRPr="00657A2D">
        <w:rPr>
          <w:rFonts w:asciiTheme="minorHAnsi" w:hAnsiTheme="minorHAnsi" w:cstheme="minorHAnsi"/>
          <w:sz w:val="22"/>
          <w:szCs w:val="22"/>
        </w:rPr>
        <w:t>including daily demand</w:t>
      </w:r>
      <w:r w:rsidR="00983C80" w:rsidRPr="00657A2D">
        <w:rPr>
          <w:rFonts w:asciiTheme="minorHAnsi" w:hAnsiTheme="minorHAnsi" w:cstheme="minorHAnsi"/>
          <w:sz w:val="22"/>
          <w:szCs w:val="22"/>
        </w:rPr>
        <w:t xml:space="preserve">, </w:t>
      </w:r>
      <w:r w:rsidR="001F3C55" w:rsidRPr="00657A2D">
        <w:rPr>
          <w:rFonts w:asciiTheme="minorHAnsi" w:hAnsiTheme="minorHAnsi" w:cstheme="minorHAnsi"/>
          <w:sz w:val="22"/>
          <w:szCs w:val="22"/>
        </w:rPr>
        <w:t xml:space="preserve">daily </w:t>
      </w:r>
      <w:r w:rsidR="00983C80" w:rsidRPr="00657A2D">
        <w:rPr>
          <w:rFonts w:asciiTheme="minorHAnsi" w:hAnsiTheme="minorHAnsi" w:cstheme="minorHAnsi"/>
          <w:sz w:val="22"/>
          <w:szCs w:val="22"/>
        </w:rPr>
        <w:t>wastewater generation,</w:t>
      </w:r>
      <w:r w:rsidR="007A2FBA" w:rsidRPr="00657A2D">
        <w:rPr>
          <w:rFonts w:asciiTheme="minorHAnsi" w:hAnsiTheme="minorHAnsi" w:cstheme="minorHAnsi"/>
          <w:sz w:val="22"/>
          <w:szCs w:val="22"/>
        </w:rPr>
        <w:t xml:space="preserve"> and </w:t>
      </w:r>
      <w:r w:rsidR="001F3C55" w:rsidRPr="00657A2D">
        <w:rPr>
          <w:rFonts w:asciiTheme="minorHAnsi" w:hAnsiTheme="minorHAnsi" w:cstheme="minorHAnsi"/>
          <w:sz w:val="22"/>
          <w:szCs w:val="22"/>
        </w:rPr>
        <w:t xml:space="preserve">daily </w:t>
      </w:r>
      <w:r w:rsidR="007A2FBA" w:rsidRPr="00657A2D">
        <w:rPr>
          <w:rFonts w:asciiTheme="minorHAnsi" w:hAnsiTheme="minorHAnsi" w:cstheme="minorHAnsi"/>
          <w:sz w:val="22"/>
          <w:szCs w:val="22"/>
        </w:rPr>
        <w:t xml:space="preserve">consumptive </w:t>
      </w:r>
      <w:r w:rsidR="00BB559D" w:rsidRPr="00657A2D">
        <w:rPr>
          <w:rFonts w:asciiTheme="minorHAnsi" w:hAnsiTheme="minorHAnsi" w:cstheme="minorHAnsi"/>
          <w:sz w:val="22"/>
          <w:szCs w:val="22"/>
        </w:rPr>
        <w:t>use</w:t>
      </w:r>
      <w:r w:rsidR="001F3C55" w:rsidRPr="00657A2D">
        <w:rPr>
          <w:rFonts w:asciiTheme="minorHAnsi" w:hAnsiTheme="minorHAnsi" w:cstheme="minorHAnsi"/>
          <w:sz w:val="22"/>
          <w:szCs w:val="22"/>
        </w:rPr>
        <w:t>—</w:t>
      </w:r>
      <w:r w:rsidR="00632A89" w:rsidRPr="00657A2D">
        <w:rPr>
          <w:rFonts w:asciiTheme="minorHAnsi" w:hAnsiTheme="minorHAnsi" w:cstheme="minorHAnsi"/>
          <w:sz w:val="22"/>
          <w:szCs w:val="22"/>
        </w:rPr>
        <w:t xml:space="preserve">of the data center, including </w:t>
      </w:r>
      <w:r w:rsidR="00365543" w:rsidRPr="00657A2D">
        <w:rPr>
          <w:rFonts w:asciiTheme="minorHAnsi" w:hAnsiTheme="minorHAnsi" w:cstheme="minorHAnsi"/>
          <w:sz w:val="22"/>
          <w:szCs w:val="22"/>
        </w:rPr>
        <w:t xml:space="preserve">for </w:t>
      </w:r>
      <w:r w:rsidR="00632A89" w:rsidRPr="00657A2D">
        <w:rPr>
          <w:rFonts w:asciiTheme="minorHAnsi" w:hAnsiTheme="minorHAnsi" w:cstheme="minorHAnsi"/>
          <w:sz w:val="22"/>
          <w:szCs w:val="22"/>
        </w:rPr>
        <w:t xml:space="preserve">cooling </w:t>
      </w:r>
      <w:r w:rsidR="00666E3B" w:rsidRPr="00657A2D">
        <w:rPr>
          <w:rFonts w:asciiTheme="minorHAnsi" w:hAnsiTheme="minorHAnsi" w:cstheme="minorHAnsi"/>
          <w:sz w:val="22"/>
          <w:szCs w:val="22"/>
        </w:rPr>
        <w:t xml:space="preserve">and other </w:t>
      </w:r>
      <w:r w:rsidR="00365543" w:rsidRPr="00657A2D">
        <w:rPr>
          <w:rFonts w:asciiTheme="minorHAnsi" w:hAnsiTheme="minorHAnsi" w:cstheme="minorHAnsi"/>
          <w:sz w:val="22"/>
          <w:szCs w:val="22"/>
        </w:rPr>
        <w:t>purposes</w:t>
      </w:r>
      <w:r w:rsidR="006F0F72" w:rsidRPr="00657A2D">
        <w:rPr>
          <w:rFonts w:asciiTheme="minorHAnsi" w:hAnsiTheme="minorHAnsi" w:cstheme="minorHAnsi"/>
          <w:sz w:val="22"/>
          <w:szCs w:val="22"/>
        </w:rPr>
        <w:t>.</w:t>
      </w:r>
    </w:p>
    <w:p w14:paraId="05B71CAA" w14:textId="6488A03C" w:rsidR="00B463EA" w:rsidRPr="00657A2D" w:rsidRDefault="006F0F72" w:rsidP="00293734">
      <w:pPr>
        <w:pStyle w:val="ListParagraph"/>
        <w:numPr>
          <w:ilvl w:val="1"/>
          <w:numId w:val="23"/>
        </w:numPr>
        <w:rPr>
          <w:rFonts w:asciiTheme="minorHAnsi" w:hAnsiTheme="minorHAnsi" w:cstheme="minorHAnsi"/>
          <w:sz w:val="22"/>
          <w:szCs w:val="22"/>
        </w:rPr>
      </w:pPr>
      <w:r w:rsidRPr="00657A2D">
        <w:rPr>
          <w:rFonts w:asciiTheme="minorHAnsi" w:hAnsiTheme="minorHAnsi" w:cstheme="minorHAnsi"/>
          <w:sz w:val="22"/>
          <w:szCs w:val="22"/>
        </w:rPr>
        <w:t>Outline the water needs as they correspond to the phasing of construction.</w:t>
      </w:r>
      <w:r w:rsidR="00632A89" w:rsidRPr="00657A2D">
        <w:rPr>
          <w:rFonts w:asciiTheme="minorHAnsi" w:hAnsiTheme="minorHAnsi" w:cstheme="minorHAnsi"/>
          <w:sz w:val="22"/>
          <w:szCs w:val="22"/>
        </w:rPr>
        <w:t xml:space="preserve"> </w:t>
      </w:r>
    </w:p>
    <w:p w14:paraId="31A2BBEE" w14:textId="01AD6EF5" w:rsidR="00201095" w:rsidRPr="00657A2D" w:rsidRDefault="00201095" w:rsidP="00293734">
      <w:pPr>
        <w:pStyle w:val="ListParagraph"/>
        <w:numPr>
          <w:ilvl w:val="1"/>
          <w:numId w:val="23"/>
        </w:numPr>
        <w:rPr>
          <w:rFonts w:asciiTheme="minorHAnsi" w:hAnsiTheme="minorHAnsi" w:cstheme="minorHAnsi"/>
          <w:sz w:val="22"/>
          <w:szCs w:val="22"/>
        </w:rPr>
      </w:pPr>
      <w:r w:rsidRPr="00657A2D">
        <w:rPr>
          <w:rFonts w:asciiTheme="minorHAnsi" w:hAnsiTheme="minorHAnsi" w:cstheme="minorHAnsi"/>
          <w:sz w:val="22"/>
          <w:szCs w:val="22"/>
        </w:rPr>
        <w:t>Indicate that the [city/county</w:t>
      </w:r>
      <w:r w:rsidR="00B07661" w:rsidRPr="00657A2D">
        <w:rPr>
          <w:rFonts w:asciiTheme="minorHAnsi" w:hAnsiTheme="minorHAnsi" w:cstheme="minorHAnsi"/>
          <w:sz w:val="22"/>
          <w:szCs w:val="22"/>
        </w:rPr>
        <w:t xml:space="preserve">/regional </w:t>
      </w:r>
      <w:r w:rsidRPr="00657A2D">
        <w:rPr>
          <w:rFonts w:asciiTheme="minorHAnsi" w:hAnsiTheme="minorHAnsi" w:cstheme="minorHAnsi"/>
          <w:sz w:val="22"/>
          <w:szCs w:val="22"/>
        </w:rPr>
        <w:t>water supplier</w:t>
      </w:r>
      <w:r w:rsidR="00B07661" w:rsidRPr="00657A2D">
        <w:rPr>
          <w:rFonts w:asciiTheme="minorHAnsi" w:hAnsiTheme="minorHAnsi" w:cstheme="minorHAnsi"/>
          <w:sz w:val="22"/>
          <w:szCs w:val="22"/>
        </w:rPr>
        <w:t>]</w:t>
      </w:r>
      <w:r w:rsidRPr="00657A2D">
        <w:rPr>
          <w:rFonts w:asciiTheme="minorHAnsi" w:hAnsiTheme="minorHAnsi" w:cstheme="minorHAnsi"/>
          <w:sz w:val="22"/>
          <w:szCs w:val="22"/>
        </w:rPr>
        <w:t xml:space="preserve"> has been consulted.</w:t>
      </w:r>
    </w:p>
    <w:p w14:paraId="3420D220" w14:textId="734C4AB1" w:rsidR="004710EB" w:rsidRPr="00657A2D" w:rsidRDefault="00632A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Water conservation and sustainability plan: </w:t>
      </w:r>
      <w:r w:rsidR="000F7D3B" w:rsidRPr="00657A2D">
        <w:rPr>
          <w:rFonts w:asciiTheme="minorHAnsi" w:hAnsiTheme="minorHAnsi" w:cstheme="minorHAnsi"/>
          <w:sz w:val="22"/>
          <w:szCs w:val="22"/>
        </w:rPr>
        <w:t>The plan</w:t>
      </w:r>
    </w:p>
    <w:p w14:paraId="4CD20948" w14:textId="1AA47E1D" w:rsidR="000F7D3B" w:rsidRPr="00657A2D" w:rsidRDefault="00B224D7" w:rsidP="004710EB">
      <w:pPr>
        <w:pStyle w:val="ListParagraph"/>
        <w:numPr>
          <w:ilvl w:val="1"/>
          <w:numId w:val="23"/>
        </w:numPr>
        <w:rPr>
          <w:rFonts w:asciiTheme="minorHAnsi" w:hAnsiTheme="minorHAnsi" w:cstheme="minorHAnsi"/>
          <w:sz w:val="22"/>
          <w:szCs w:val="22"/>
        </w:rPr>
      </w:pPr>
      <w:r w:rsidRPr="00657A2D">
        <w:rPr>
          <w:rFonts w:asciiTheme="minorHAnsi" w:hAnsiTheme="minorHAnsi" w:cstheme="minorHAnsi"/>
          <w:sz w:val="22"/>
          <w:szCs w:val="22"/>
        </w:rPr>
        <w:t>M</w:t>
      </w:r>
      <w:r w:rsidR="000F7D3B" w:rsidRPr="00657A2D">
        <w:rPr>
          <w:rFonts w:asciiTheme="minorHAnsi" w:hAnsiTheme="minorHAnsi" w:cstheme="minorHAnsi"/>
          <w:sz w:val="22"/>
          <w:szCs w:val="22"/>
        </w:rPr>
        <w:t xml:space="preserve">ust demonstrate that the water usage will not significantly strain the [city/county] </w:t>
      </w:r>
      <w:r w:rsidR="006703FA" w:rsidRPr="00657A2D">
        <w:rPr>
          <w:rFonts w:asciiTheme="minorHAnsi" w:hAnsiTheme="minorHAnsi" w:cstheme="minorHAnsi"/>
          <w:sz w:val="22"/>
          <w:szCs w:val="22"/>
        </w:rPr>
        <w:t xml:space="preserve">and region’s </w:t>
      </w:r>
      <w:r w:rsidR="000F7D3B" w:rsidRPr="00657A2D">
        <w:rPr>
          <w:rFonts w:asciiTheme="minorHAnsi" w:hAnsiTheme="minorHAnsi" w:cstheme="minorHAnsi"/>
          <w:sz w:val="22"/>
          <w:szCs w:val="22"/>
        </w:rPr>
        <w:t>water supplies from the XX River/Creek/Lake</w:t>
      </w:r>
      <w:r w:rsidR="00930669" w:rsidRPr="00657A2D">
        <w:rPr>
          <w:rFonts w:asciiTheme="minorHAnsi" w:hAnsiTheme="minorHAnsi" w:cstheme="minorHAnsi"/>
          <w:sz w:val="22"/>
          <w:szCs w:val="22"/>
        </w:rPr>
        <w:t>/Aquifer</w:t>
      </w:r>
      <w:r w:rsidR="000F7D3B" w:rsidRPr="00657A2D">
        <w:rPr>
          <w:rFonts w:asciiTheme="minorHAnsi" w:hAnsiTheme="minorHAnsi" w:cstheme="minorHAnsi"/>
          <w:sz w:val="22"/>
          <w:szCs w:val="22"/>
        </w:rPr>
        <w:t xml:space="preserve"> and other sources.</w:t>
      </w:r>
    </w:p>
    <w:p w14:paraId="4877B1E3" w14:textId="2A6DD35F" w:rsidR="000575A5" w:rsidRPr="00657A2D" w:rsidRDefault="000575A5" w:rsidP="004710EB">
      <w:pPr>
        <w:pStyle w:val="ListParagraph"/>
        <w:numPr>
          <w:ilvl w:val="1"/>
          <w:numId w:val="23"/>
        </w:numPr>
        <w:rPr>
          <w:rFonts w:asciiTheme="minorHAnsi" w:hAnsiTheme="minorHAnsi" w:cstheme="minorHAnsi"/>
          <w:sz w:val="22"/>
          <w:szCs w:val="22"/>
        </w:rPr>
      </w:pPr>
      <w:r w:rsidRPr="00657A2D">
        <w:rPr>
          <w:rFonts w:asciiTheme="minorHAnsi" w:hAnsiTheme="minorHAnsi" w:cstheme="minorHAnsi"/>
          <w:sz w:val="22"/>
          <w:szCs w:val="22"/>
        </w:rPr>
        <w:t>Will include measures, strategies, techniques and technologies that will reduce the consumption of water, reduce the loss or waste of water, improve the efficiency in the use of water, or establish use of reclaimed water by the large quantity water user</w:t>
      </w:r>
    </w:p>
    <w:p w14:paraId="00FED0F1" w14:textId="77777777" w:rsidR="00A1703A" w:rsidRPr="00657A2D" w:rsidRDefault="00B224D7" w:rsidP="00A1703A">
      <w:pPr>
        <w:pStyle w:val="ListParagraph"/>
        <w:numPr>
          <w:ilvl w:val="1"/>
          <w:numId w:val="23"/>
        </w:numPr>
        <w:rPr>
          <w:rFonts w:asciiTheme="minorHAnsi" w:hAnsiTheme="minorHAnsi" w:cstheme="minorHAnsi"/>
          <w:sz w:val="22"/>
          <w:szCs w:val="22"/>
        </w:rPr>
      </w:pPr>
      <w:r w:rsidRPr="00657A2D">
        <w:rPr>
          <w:rFonts w:asciiTheme="minorHAnsi" w:hAnsiTheme="minorHAnsi" w:cstheme="minorHAnsi"/>
          <w:sz w:val="22"/>
          <w:szCs w:val="22"/>
        </w:rPr>
        <w:t xml:space="preserve">Will detail </w:t>
      </w:r>
      <w:r w:rsidR="00CE1ADD" w:rsidRPr="00657A2D">
        <w:rPr>
          <w:rFonts w:asciiTheme="minorHAnsi" w:hAnsiTheme="minorHAnsi" w:cstheme="minorHAnsi"/>
          <w:sz w:val="22"/>
          <w:szCs w:val="22"/>
        </w:rPr>
        <w:t xml:space="preserve">the </w:t>
      </w:r>
      <w:r w:rsidR="004710EB" w:rsidRPr="00657A2D">
        <w:rPr>
          <w:rFonts w:asciiTheme="minorHAnsi" w:hAnsiTheme="minorHAnsi" w:cstheme="minorHAnsi"/>
          <w:sz w:val="22"/>
          <w:szCs w:val="22"/>
        </w:rPr>
        <w:t>facility</w:t>
      </w:r>
      <w:r w:rsidR="00CE1ADD" w:rsidRPr="00657A2D">
        <w:rPr>
          <w:rFonts w:asciiTheme="minorHAnsi" w:hAnsiTheme="minorHAnsi" w:cstheme="minorHAnsi"/>
          <w:sz w:val="22"/>
          <w:szCs w:val="22"/>
        </w:rPr>
        <w:t xml:space="preserve">’s methods to </w:t>
      </w:r>
      <w:r w:rsidR="00334401" w:rsidRPr="00657A2D">
        <w:rPr>
          <w:rFonts w:asciiTheme="minorHAnsi" w:hAnsiTheme="minorHAnsi" w:cstheme="minorHAnsi"/>
          <w:sz w:val="22"/>
          <w:szCs w:val="22"/>
        </w:rPr>
        <w:t xml:space="preserve">reduce water demands and </w:t>
      </w:r>
      <w:r w:rsidR="00EB1944" w:rsidRPr="00657A2D">
        <w:rPr>
          <w:rFonts w:asciiTheme="minorHAnsi" w:hAnsiTheme="minorHAnsi" w:cstheme="minorHAnsi"/>
          <w:sz w:val="22"/>
          <w:szCs w:val="22"/>
        </w:rPr>
        <w:t xml:space="preserve">alter operations in the event of a </w:t>
      </w:r>
      <w:r w:rsidR="009C4F66" w:rsidRPr="00657A2D">
        <w:rPr>
          <w:rFonts w:asciiTheme="minorHAnsi" w:hAnsiTheme="minorHAnsi" w:cstheme="minorHAnsi"/>
          <w:sz w:val="22"/>
          <w:szCs w:val="22"/>
        </w:rPr>
        <w:t xml:space="preserve">water disruption, a </w:t>
      </w:r>
      <w:r w:rsidR="00334401" w:rsidRPr="00657A2D">
        <w:rPr>
          <w:rFonts w:asciiTheme="minorHAnsi" w:hAnsiTheme="minorHAnsi" w:cstheme="minorHAnsi"/>
          <w:sz w:val="22"/>
          <w:szCs w:val="22"/>
        </w:rPr>
        <w:t xml:space="preserve">significant </w:t>
      </w:r>
      <w:r w:rsidR="00EB1944" w:rsidRPr="00657A2D">
        <w:rPr>
          <w:rFonts w:asciiTheme="minorHAnsi" w:hAnsiTheme="minorHAnsi" w:cstheme="minorHAnsi"/>
          <w:sz w:val="22"/>
          <w:szCs w:val="22"/>
        </w:rPr>
        <w:t>drought</w:t>
      </w:r>
      <w:r w:rsidR="00334401" w:rsidRPr="00657A2D">
        <w:rPr>
          <w:rFonts w:asciiTheme="minorHAnsi" w:hAnsiTheme="minorHAnsi" w:cstheme="minorHAnsi"/>
          <w:sz w:val="22"/>
          <w:szCs w:val="22"/>
        </w:rPr>
        <w:t xml:space="preserve"> event </w:t>
      </w:r>
      <w:r w:rsidR="008924BB" w:rsidRPr="00657A2D">
        <w:rPr>
          <w:rFonts w:asciiTheme="minorHAnsi" w:hAnsiTheme="minorHAnsi" w:cstheme="minorHAnsi"/>
          <w:sz w:val="22"/>
          <w:szCs w:val="22"/>
        </w:rPr>
        <w:t>a</w:t>
      </w:r>
      <w:r w:rsidR="00334401" w:rsidRPr="00657A2D">
        <w:rPr>
          <w:rFonts w:asciiTheme="minorHAnsi" w:hAnsiTheme="minorHAnsi" w:cstheme="minorHAnsi"/>
          <w:sz w:val="22"/>
          <w:szCs w:val="22"/>
        </w:rPr>
        <w:t xml:space="preserve">ffecting </w:t>
      </w:r>
      <w:r w:rsidR="00A50266" w:rsidRPr="00657A2D">
        <w:rPr>
          <w:rFonts w:asciiTheme="minorHAnsi" w:hAnsiTheme="minorHAnsi" w:cstheme="minorHAnsi"/>
          <w:sz w:val="22"/>
          <w:szCs w:val="22"/>
        </w:rPr>
        <w:t xml:space="preserve">water supplies for </w:t>
      </w:r>
      <w:r w:rsidR="00334401" w:rsidRPr="00657A2D">
        <w:rPr>
          <w:rFonts w:asciiTheme="minorHAnsi" w:hAnsiTheme="minorHAnsi" w:cstheme="minorHAnsi"/>
          <w:sz w:val="22"/>
          <w:szCs w:val="22"/>
        </w:rPr>
        <w:t>critical facilities</w:t>
      </w:r>
      <w:r w:rsidR="009C4F66" w:rsidRPr="00657A2D">
        <w:rPr>
          <w:rFonts w:asciiTheme="minorHAnsi" w:hAnsiTheme="minorHAnsi" w:cstheme="minorHAnsi"/>
          <w:sz w:val="22"/>
          <w:szCs w:val="22"/>
        </w:rPr>
        <w:t xml:space="preserve">, or </w:t>
      </w:r>
      <w:r w:rsidR="004710EB" w:rsidRPr="00657A2D">
        <w:rPr>
          <w:rFonts w:asciiTheme="minorHAnsi" w:hAnsiTheme="minorHAnsi" w:cstheme="minorHAnsi"/>
          <w:sz w:val="22"/>
          <w:szCs w:val="22"/>
        </w:rPr>
        <w:t xml:space="preserve">emergency periods of water shortage. </w:t>
      </w:r>
    </w:p>
    <w:p w14:paraId="7311D9FE" w14:textId="77777777" w:rsidR="0058448C" w:rsidRPr="00657A2D" w:rsidRDefault="00A1703A" w:rsidP="0058448C">
      <w:pPr>
        <w:pStyle w:val="ListParagraph"/>
        <w:numPr>
          <w:ilvl w:val="1"/>
          <w:numId w:val="23"/>
        </w:numPr>
        <w:rPr>
          <w:rFonts w:asciiTheme="minorHAnsi" w:hAnsiTheme="minorHAnsi" w:cstheme="minorHAnsi"/>
          <w:sz w:val="22"/>
          <w:szCs w:val="22"/>
        </w:rPr>
      </w:pPr>
      <w:r w:rsidRPr="00657A2D">
        <w:rPr>
          <w:rFonts w:asciiTheme="minorHAnsi" w:hAnsiTheme="minorHAnsi" w:cstheme="minorHAnsi"/>
          <w:sz w:val="22"/>
          <w:szCs w:val="22"/>
        </w:rPr>
        <w:t xml:space="preserve">Will </w:t>
      </w:r>
      <w:r w:rsidR="00B23A21" w:rsidRPr="00657A2D">
        <w:rPr>
          <w:rFonts w:asciiTheme="minorHAnsi" w:hAnsiTheme="minorHAnsi" w:cstheme="minorHAnsi"/>
          <w:sz w:val="22"/>
          <w:szCs w:val="22"/>
        </w:rPr>
        <w:t xml:space="preserve">include results of </w:t>
      </w:r>
      <w:r w:rsidRPr="00657A2D">
        <w:rPr>
          <w:rFonts w:asciiTheme="minorHAnsi" w:hAnsiTheme="minorHAnsi" w:cstheme="minorHAnsi"/>
          <w:sz w:val="22"/>
          <w:szCs w:val="22"/>
        </w:rPr>
        <w:t>Ground Water Testing. With each approved Data Center Special Use Permit</w:t>
      </w:r>
      <w:r w:rsidR="00B23A21" w:rsidRPr="00657A2D">
        <w:rPr>
          <w:rFonts w:asciiTheme="minorHAnsi" w:hAnsiTheme="minorHAnsi" w:cstheme="minorHAnsi"/>
          <w:sz w:val="22"/>
          <w:szCs w:val="22"/>
        </w:rPr>
        <w:t xml:space="preserve"> </w:t>
      </w:r>
      <w:r w:rsidRPr="00657A2D">
        <w:rPr>
          <w:rFonts w:asciiTheme="minorHAnsi" w:hAnsiTheme="minorHAnsi" w:cstheme="minorHAnsi"/>
          <w:sz w:val="22"/>
          <w:szCs w:val="22"/>
        </w:rPr>
        <w:t>application, an optional water analysis of active wells within one-quarter mile of</w:t>
      </w:r>
      <w:r w:rsidR="00B23A21" w:rsidRPr="00657A2D">
        <w:rPr>
          <w:rFonts w:asciiTheme="minorHAnsi" w:hAnsiTheme="minorHAnsi" w:cstheme="minorHAnsi"/>
          <w:sz w:val="22"/>
          <w:szCs w:val="22"/>
        </w:rPr>
        <w:t xml:space="preserve"> </w:t>
      </w:r>
      <w:r w:rsidRPr="00657A2D">
        <w:rPr>
          <w:rFonts w:asciiTheme="minorHAnsi" w:hAnsiTheme="minorHAnsi" w:cstheme="minorHAnsi"/>
          <w:sz w:val="22"/>
          <w:szCs w:val="22"/>
        </w:rPr>
        <w:t>the Site Area shall be offered by the Operator prior to the installation of the</w:t>
      </w:r>
      <w:r w:rsidR="00B23A21" w:rsidRPr="00657A2D">
        <w:rPr>
          <w:rFonts w:asciiTheme="minorHAnsi" w:hAnsiTheme="minorHAnsi" w:cstheme="minorHAnsi"/>
          <w:sz w:val="22"/>
          <w:szCs w:val="22"/>
        </w:rPr>
        <w:t xml:space="preserve"> </w:t>
      </w:r>
      <w:r w:rsidRPr="00657A2D">
        <w:rPr>
          <w:rFonts w:asciiTheme="minorHAnsi" w:hAnsiTheme="minorHAnsi" w:cstheme="minorHAnsi"/>
          <w:sz w:val="22"/>
          <w:szCs w:val="22"/>
        </w:rPr>
        <w:t>equipment</w:t>
      </w:r>
      <w:r w:rsidR="00B23A21" w:rsidRPr="00657A2D">
        <w:rPr>
          <w:rFonts w:asciiTheme="minorHAnsi" w:hAnsiTheme="minorHAnsi" w:cstheme="minorHAnsi"/>
          <w:sz w:val="22"/>
          <w:szCs w:val="22"/>
        </w:rPr>
        <w:t xml:space="preserve"> in the data center</w:t>
      </w:r>
      <w:r w:rsidRPr="00657A2D">
        <w:rPr>
          <w:rFonts w:asciiTheme="minorHAnsi" w:hAnsiTheme="minorHAnsi" w:cstheme="minorHAnsi"/>
          <w:sz w:val="22"/>
          <w:szCs w:val="22"/>
        </w:rPr>
        <w:t>.</w:t>
      </w:r>
    </w:p>
    <w:p w14:paraId="463048E5" w14:textId="77777777" w:rsidR="0058448C" w:rsidRPr="00657A2D" w:rsidRDefault="0058448C" w:rsidP="0058448C">
      <w:pPr>
        <w:pStyle w:val="ListParagraph"/>
        <w:numPr>
          <w:ilvl w:val="2"/>
          <w:numId w:val="23"/>
        </w:numPr>
        <w:rPr>
          <w:rFonts w:asciiTheme="minorHAnsi" w:hAnsiTheme="minorHAnsi" w:cstheme="minorHAnsi"/>
          <w:sz w:val="22"/>
          <w:szCs w:val="22"/>
        </w:rPr>
      </w:pPr>
      <w:r w:rsidRPr="00657A2D">
        <w:rPr>
          <w:rFonts w:asciiTheme="minorHAnsi" w:hAnsiTheme="minorHAnsi" w:cstheme="minorHAnsi"/>
          <w:sz w:val="22"/>
          <w:szCs w:val="22"/>
        </w:rPr>
        <w:t xml:space="preserve">This offer shall be made to all owners of property within 1/4 mile of the Site Area by certified mail, at least </w:t>
      </w:r>
      <w:proofErr w:type="gramStart"/>
      <w:r w:rsidRPr="00657A2D">
        <w:rPr>
          <w:rFonts w:asciiTheme="minorHAnsi" w:hAnsiTheme="minorHAnsi" w:cstheme="minorHAnsi"/>
          <w:sz w:val="22"/>
          <w:szCs w:val="22"/>
        </w:rPr>
        <w:t>one-month</w:t>
      </w:r>
      <w:proofErr w:type="gramEnd"/>
      <w:r w:rsidRPr="00657A2D">
        <w:rPr>
          <w:rFonts w:asciiTheme="minorHAnsi" w:hAnsiTheme="minorHAnsi" w:cstheme="minorHAnsi"/>
          <w:sz w:val="22"/>
          <w:szCs w:val="22"/>
        </w:rPr>
        <w:t xml:space="preserve"> prior to the installation.</w:t>
      </w:r>
    </w:p>
    <w:p w14:paraId="566C0C03" w14:textId="77777777" w:rsidR="0058448C" w:rsidRPr="00657A2D" w:rsidRDefault="0058448C" w:rsidP="0058448C">
      <w:pPr>
        <w:pStyle w:val="ListParagraph"/>
        <w:numPr>
          <w:ilvl w:val="2"/>
          <w:numId w:val="23"/>
        </w:numPr>
        <w:rPr>
          <w:rFonts w:asciiTheme="minorHAnsi" w:hAnsiTheme="minorHAnsi" w:cstheme="minorHAnsi"/>
          <w:sz w:val="22"/>
          <w:szCs w:val="22"/>
        </w:rPr>
      </w:pPr>
      <w:r w:rsidRPr="00657A2D">
        <w:rPr>
          <w:rFonts w:asciiTheme="minorHAnsi" w:hAnsiTheme="minorHAnsi" w:cstheme="minorHAnsi"/>
          <w:sz w:val="22"/>
          <w:szCs w:val="22"/>
        </w:rPr>
        <w:t xml:space="preserve">A copy of the certified letter and a list of property owners notified shall be provided to the Zoning and Codes Department along with a list of all property owners who requested the testing and the results of that testing. This must occur prior to the installation of the facility. </w:t>
      </w:r>
    </w:p>
    <w:p w14:paraId="2EBD7567" w14:textId="000F8582" w:rsidR="0058448C" w:rsidRPr="00657A2D" w:rsidRDefault="0058448C" w:rsidP="0058448C">
      <w:pPr>
        <w:pStyle w:val="ListParagraph"/>
        <w:numPr>
          <w:ilvl w:val="2"/>
          <w:numId w:val="23"/>
        </w:numPr>
        <w:rPr>
          <w:rFonts w:asciiTheme="minorHAnsi" w:hAnsiTheme="minorHAnsi" w:cstheme="minorHAnsi"/>
          <w:sz w:val="22"/>
          <w:szCs w:val="22"/>
        </w:rPr>
      </w:pPr>
      <w:r w:rsidRPr="00657A2D">
        <w:rPr>
          <w:rFonts w:asciiTheme="minorHAnsi" w:hAnsiTheme="minorHAnsi" w:cstheme="minorHAnsi"/>
          <w:sz w:val="22"/>
          <w:szCs w:val="22"/>
        </w:rPr>
        <w:t xml:space="preserve">The test shall analyze the water in the nearby wells for </w:t>
      </w:r>
      <w:r w:rsidR="005F578B" w:rsidRPr="00657A2D">
        <w:rPr>
          <w:rFonts w:asciiTheme="minorHAnsi" w:hAnsiTheme="minorHAnsi" w:cstheme="minorHAnsi"/>
          <w:sz w:val="22"/>
          <w:szCs w:val="22"/>
        </w:rPr>
        <w:t xml:space="preserve">sediment and turbidity, and </w:t>
      </w:r>
      <w:r w:rsidRPr="00657A2D">
        <w:rPr>
          <w:rFonts w:asciiTheme="minorHAnsi" w:hAnsiTheme="minorHAnsi" w:cstheme="minorHAnsi"/>
          <w:sz w:val="22"/>
          <w:szCs w:val="22"/>
        </w:rPr>
        <w:t xml:space="preserve">substances such as lead and cadmium, as determined with the Special Use Permit, and shall include a pesticide panel. </w:t>
      </w:r>
    </w:p>
    <w:p w14:paraId="2F97151D" w14:textId="59E7B54E" w:rsidR="0058448C" w:rsidRPr="00657A2D" w:rsidRDefault="0058448C" w:rsidP="0058448C">
      <w:pPr>
        <w:pStyle w:val="ListParagraph"/>
        <w:numPr>
          <w:ilvl w:val="2"/>
          <w:numId w:val="23"/>
        </w:numPr>
        <w:rPr>
          <w:rFonts w:asciiTheme="minorHAnsi" w:hAnsiTheme="minorHAnsi" w:cstheme="minorHAnsi"/>
          <w:sz w:val="22"/>
          <w:szCs w:val="22"/>
        </w:rPr>
      </w:pPr>
      <w:r w:rsidRPr="00657A2D">
        <w:rPr>
          <w:rFonts w:asciiTheme="minorHAnsi" w:hAnsiTheme="minorHAnsi" w:cstheme="minorHAnsi"/>
          <w:sz w:val="22"/>
          <w:szCs w:val="22"/>
        </w:rPr>
        <w:t xml:space="preserve">The results of ground water testing shall be provided to the Director of </w:t>
      </w:r>
      <w:r w:rsidR="005F578B" w:rsidRPr="00657A2D">
        <w:rPr>
          <w:rFonts w:asciiTheme="minorHAnsi" w:hAnsiTheme="minorHAnsi" w:cstheme="minorHAnsi"/>
          <w:sz w:val="22"/>
          <w:szCs w:val="22"/>
        </w:rPr>
        <w:t xml:space="preserve">[city/county] Department </w:t>
      </w:r>
      <w:r w:rsidRPr="00657A2D">
        <w:rPr>
          <w:rFonts w:asciiTheme="minorHAnsi" w:hAnsiTheme="minorHAnsi" w:cstheme="minorHAnsi"/>
          <w:sz w:val="22"/>
          <w:szCs w:val="22"/>
        </w:rPr>
        <w:t>and sent by certified mail to the landowner.</w:t>
      </w:r>
    </w:p>
    <w:p w14:paraId="25D5828C" w14:textId="191FA588" w:rsidR="00B463EA" w:rsidRPr="00657A2D" w:rsidRDefault="00632A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Energy consumption plan: outlining estimates of peak electricity demand and strategies for mitigating strain on local power infrastructure, including proposed </w:t>
      </w:r>
      <w:r w:rsidR="00DC063D" w:rsidRPr="00657A2D">
        <w:rPr>
          <w:rFonts w:asciiTheme="minorHAnsi" w:hAnsiTheme="minorHAnsi" w:cstheme="minorHAnsi"/>
          <w:sz w:val="22"/>
          <w:szCs w:val="22"/>
        </w:rPr>
        <w:t xml:space="preserve">investments, </w:t>
      </w:r>
      <w:r w:rsidRPr="00657A2D">
        <w:rPr>
          <w:rFonts w:asciiTheme="minorHAnsi" w:hAnsiTheme="minorHAnsi" w:cstheme="minorHAnsi"/>
          <w:sz w:val="22"/>
          <w:szCs w:val="22"/>
        </w:rPr>
        <w:t xml:space="preserve">improvements or alternatives to minimize the need for additional </w:t>
      </w:r>
      <w:r w:rsidR="00916BC8" w:rsidRPr="00657A2D">
        <w:rPr>
          <w:rFonts w:asciiTheme="minorHAnsi" w:hAnsiTheme="minorHAnsi" w:cstheme="minorHAnsi"/>
          <w:sz w:val="22"/>
          <w:szCs w:val="22"/>
        </w:rPr>
        <w:t>energy infrastructure</w:t>
      </w:r>
      <w:r w:rsidRPr="00657A2D">
        <w:rPr>
          <w:rFonts w:asciiTheme="minorHAnsi" w:hAnsiTheme="minorHAnsi" w:cstheme="minorHAnsi"/>
          <w:sz w:val="22"/>
          <w:szCs w:val="22"/>
        </w:rPr>
        <w:t>.</w:t>
      </w:r>
    </w:p>
    <w:p w14:paraId="301E7DAF" w14:textId="55E1C360" w:rsidR="00B463EA" w:rsidRPr="00657A2D" w:rsidRDefault="00632A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Transmission line impact assessment: identifying the need for new or upgraded transmission lines to meet the data center's electricity requirements. This assessment must include the potential environmental impact on public land, including tree removal from city-owned land and rights-of-way</w:t>
      </w:r>
      <w:r w:rsidR="00DC063D" w:rsidRPr="00657A2D">
        <w:rPr>
          <w:rFonts w:asciiTheme="minorHAnsi" w:hAnsiTheme="minorHAnsi" w:cstheme="minorHAnsi"/>
          <w:sz w:val="22"/>
          <w:szCs w:val="22"/>
        </w:rPr>
        <w:t xml:space="preserve">, and on </w:t>
      </w:r>
      <w:r w:rsidR="006B2170" w:rsidRPr="00657A2D">
        <w:rPr>
          <w:rFonts w:asciiTheme="minorHAnsi" w:hAnsiTheme="minorHAnsi" w:cstheme="minorHAnsi"/>
          <w:sz w:val="22"/>
          <w:szCs w:val="22"/>
        </w:rPr>
        <w:t>adjacent properties</w:t>
      </w:r>
      <w:r w:rsidRPr="00657A2D">
        <w:rPr>
          <w:rFonts w:asciiTheme="minorHAnsi" w:hAnsiTheme="minorHAnsi" w:cstheme="minorHAnsi"/>
          <w:sz w:val="22"/>
          <w:szCs w:val="22"/>
        </w:rPr>
        <w:t>.</w:t>
      </w:r>
    </w:p>
    <w:p w14:paraId="2CA9CE8D" w14:textId="77777777" w:rsidR="00B463EA" w:rsidRPr="00657A2D" w:rsidRDefault="00632A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lastRenderedPageBreak/>
        <w:t>Tree preservation and reforestation plan: outlining efforts to minimize tree removal and enhance urban forestry efforts, especially when transmission lines cross public land</w:t>
      </w:r>
      <w:r w:rsidR="005166C4" w:rsidRPr="00657A2D">
        <w:rPr>
          <w:rFonts w:asciiTheme="minorHAnsi" w:hAnsiTheme="minorHAnsi" w:cstheme="minorHAnsi"/>
          <w:sz w:val="22"/>
          <w:szCs w:val="22"/>
        </w:rPr>
        <w:t xml:space="preserve">, </w:t>
      </w:r>
      <w:r w:rsidRPr="00657A2D">
        <w:rPr>
          <w:rFonts w:asciiTheme="minorHAnsi" w:hAnsiTheme="minorHAnsi" w:cstheme="minorHAnsi"/>
          <w:sz w:val="22"/>
          <w:szCs w:val="22"/>
        </w:rPr>
        <w:t>park areas</w:t>
      </w:r>
      <w:r w:rsidR="005166C4" w:rsidRPr="00657A2D">
        <w:rPr>
          <w:rFonts w:asciiTheme="minorHAnsi" w:hAnsiTheme="minorHAnsi" w:cstheme="minorHAnsi"/>
          <w:sz w:val="22"/>
          <w:szCs w:val="22"/>
        </w:rPr>
        <w:t xml:space="preserve"> or county </w:t>
      </w:r>
      <w:proofErr w:type="spellStart"/>
      <w:r w:rsidR="005166C4" w:rsidRPr="00657A2D">
        <w:rPr>
          <w:rFonts w:asciiTheme="minorHAnsi" w:hAnsiTheme="minorHAnsi" w:cstheme="minorHAnsi"/>
          <w:sz w:val="22"/>
          <w:szCs w:val="22"/>
        </w:rPr>
        <w:t>right-of-ways</w:t>
      </w:r>
      <w:proofErr w:type="spellEnd"/>
      <w:r w:rsidRPr="00657A2D">
        <w:rPr>
          <w:rFonts w:asciiTheme="minorHAnsi" w:hAnsiTheme="minorHAnsi" w:cstheme="minorHAnsi"/>
          <w:sz w:val="22"/>
          <w:szCs w:val="22"/>
        </w:rPr>
        <w:t>.</w:t>
      </w:r>
    </w:p>
    <w:p w14:paraId="3F4A67E7" w14:textId="6DA4270A" w:rsidR="00B463EA" w:rsidRPr="00657A2D" w:rsidRDefault="00632A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Stormwater management plan: address</w:t>
      </w:r>
      <w:r w:rsidR="001D438A" w:rsidRPr="00657A2D">
        <w:rPr>
          <w:rFonts w:asciiTheme="minorHAnsi" w:hAnsiTheme="minorHAnsi" w:cstheme="minorHAnsi"/>
          <w:sz w:val="22"/>
          <w:szCs w:val="22"/>
        </w:rPr>
        <w:t>ing</w:t>
      </w:r>
      <w:r w:rsidRPr="00657A2D">
        <w:rPr>
          <w:rFonts w:asciiTheme="minorHAnsi" w:hAnsiTheme="minorHAnsi" w:cstheme="minorHAnsi"/>
          <w:sz w:val="22"/>
          <w:szCs w:val="22"/>
        </w:rPr>
        <w:t xml:space="preserve"> how the site’s development</w:t>
      </w:r>
      <w:r w:rsidR="0005264E" w:rsidRPr="00657A2D">
        <w:rPr>
          <w:rFonts w:asciiTheme="minorHAnsi" w:hAnsiTheme="minorHAnsi" w:cstheme="minorHAnsi"/>
          <w:sz w:val="22"/>
          <w:szCs w:val="22"/>
        </w:rPr>
        <w:t xml:space="preserve">, </w:t>
      </w:r>
      <w:r w:rsidR="005A76C0" w:rsidRPr="00657A2D">
        <w:rPr>
          <w:rFonts w:asciiTheme="minorHAnsi" w:hAnsiTheme="minorHAnsi" w:cstheme="minorHAnsi"/>
          <w:sz w:val="22"/>
          <w:szCs w:val="22"/>
        </w:rPr>
        <w:t>land disturbance</w:t>
      </w:r>
      <w:r w:rsidR="0005264E" w:rsidRPr="00657A2D">
        <w:rPr>
          <w:rFonts w:asciiTheme="minorHAnsi" w:hAnsiTheme="minorHAnsi" w:cstheme="minorHAnsi"/>
          <w:sz w:val="22"/>
          <w:szCs w:val="22"/>
        </w:rPr>
        <w:t>, construction,</w:t>
      </w:r>
      <w:r w:rsidRPr="00657A2D">
        <w:rPr>
          <w:rFonts w:asciiTheme="minorHAnsi" w:hAnsiTheme="minorHAnsi" w:cstheme="minorHAnsi"/>
          <w:sz w:val="22"/>
          <w:szCs w:val="22"/>
        </w:rPr>
        <w:t xml:space="preserve"> and operation will manage stormwater runoff, as well as any mitigation measures to prevent negative impacts on </w:t>
      </w:r>
      <w:r w:rsidR="00B0516F" w:rsidRPr="00657A2D">
        <w:rPr>
          <w:rFonts w:asciiTheme="minorHAnsi" w:hAnsiTheme="minorHAnsi" w:cstheme="minorHAnsi"/>
          <w:sz w:val="22"/>
          <w:szCs w:val="22"/>
        </w:rPr>
        <w:t xml:space="preserve">waters of the state and </w:t>
      </w:r>
      <w:r w:rsidRPr="00657A2D">
        <w:rPr>
          <w:rFonts w:asciiTheme="minorHAnsi" w:hAnsiTheme="minorHAnsi" w:cstheme="minorHAnsi"/>
          <w:sz w:val="22"/>
          <w:szCs w:val="22"/>
        </w:rPr>
        <w:t>local water system</w:t>
      </w:r>
      <w:r w:rsidR="00B0516F" w:rsidRPr="00657A2D">
        <w:rPr>
          <w:rFonts w:asciiTheme="minorHAnsi" w:hAnsiTheme="minorHAnsi" w:cstheme="minorHAnsi"/>
          <w:sz w:val="22"/>
          <w:szCs w:val="22"/>
        </w:rPr>
        <w:t xml:space="preserve"> infrastructure</w:t>
      </w:r>
      <w:r w:rsidR="00207B66" w:rsidRPr="00657A2D">
        <w:rPr>
          <w:rFonts w:asciiTheme="minorHAnsi" w:hAnsiTheme="minorHAnsi" w:cstheme="minorHAnsi"/>
          <w:sz w:val="22"/>
          <w:szCs w:val="22"/>
        </w:rPr>
        <w:t>.</w:t>
      </w:r>
    </w:p>
    <w:p w14:paraId="3926F97E" w14:textId="77777777" w:rsidR="00B463EA" w:rsidRPr="00657A2D" w:rsidRDefault="00283323"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Construction plan:</w:t>
      </w:r>
      <w:r w:rsidR="004B6121" w:rsidRPr="00657A2D">
        <w:rPr>
          <w:rFonts w:asciiTheme="minorHAnsi" w:hAnsiTheme="minorHAnsi" w:cstheme="minorHAnsi"/>
          <w:sz w:val="22"/>
          <w:szCs w:val="22"/>
        </w:rPr>
        <w:t xml:space="preserve"> outlining the </w:t>
      </w:r>
      <w:r w:rsidR="000930A0" w:rsidRPr="00657A2D">
        <w:rPr>
          <w:rFonts w:asciiTheme="minorHAnsi" w:hAnsiTheme="minorHAnsi" w:cstheme="minorHAnsi"/>
          <w:sz w:val="22"/>
          <w:szCs w:val="22"/>
        </w:rPr>
        <w:t xml:space="preserve">stages and phases of construction, traffic </w:t>
      </w:r>
      <w:r w:rsidR="00082741" w:rsidRPr="00657A2D">
        <w:rPr>
          <w:rFonts w:asciiTheme="minorHAnsi" w:hAnsiTheme="minorHAnsi" w:cstheme="minorHAnsi"/>
          <w:sz w:val="22"/>
          <w:szCs w:val="22"/>
        </w:rPr>
        <w:t>management plan</w:t>
      </w:r>
      <w:r w:rsidR="000930A0" w:rsidRPr="00657A2D">
        <w:rPr>
          <w:rFonts w:asciiTheme="minorHAnsi" w:hAnsiTheme="minorHAnsi" w:cstheme="minorHAnsi"/>
          <w:sz w:val="22"/>
          <w:szCs w:val="22"/>
        </w:rPr>
        <w:t xml:space="preserve">, </w:t>
      </w:r>
      <w:r w:rsidR="00D075C6" w:rsidRPr="00657A2D">
        <w:rPr>
          <w:rFonts w:asciiTheme="minorHAnsi" w:hAnsiTheme="minorHAnsi" w:cstheme="minorHAnsi"/>
          <w:sz w:val="22"/>
          <w:szCs w:val="22"/>
        </w:rPr>
        <w:t xml:space="preserve">anticipated </w:t>
      </w:r>
      <w:r w:rsidR="000930A0" w:rsidRPr="00657A2D">
        <w:rPr>
          <w:rFonts w:asciiTheme="minorHAnsi" w:hAnsiTheme="minorHAnsi" w:cstheme="minorHAnsi"/>
          <w:sz w:val="22"/>
          <w:szCs w:val="22"/>
        </w:rPr>
        <w:t>daily hours of active construction</w:t>
      </w:r>
      <w:r w:rsidR="00910E29" w:rsidRPr="00657A2D">
        <w:rPr>
          <w:rFonts w:asciiTheme="minorHAnsi" w:hAnsiTheme="minorHAnsi" w:cstheme="minorHAnsi"/>
          <w:sz w:val="22"/>
          <w:szCs w:val="22"/>
        </w:rPr>
        <w:t xml:space="preserve">, </w:t>
      </w:r>
      <w:r w:rsidR="00D05A72" w:rsidRPr="00657A2D">
        <w:rPr>
          <w:rFonts w:asciiTheme="minorHAnsi" w:hAnsiTheme="minorHAnsi" w:cstheme="minorHAnsi"/>
          <w:sz w:val="22"/>
          <w:szCs w:val="22"/>
        </w:rPr>
        <w:t>erosion and soil control</w:t>
      </w:r>
      <w:r w:rsidR="00CC6AFA" w:rsidRPr="00657A2D">
        <w:rPr>
          <w:rFonts w:asciiTheme="minorHAnsi" w:hAnsiTheme="minorHAnsi" w:cstheme="minorHAnsi"/>
          <w:sz w:val="22"/>
          <w:szCs w:val="22"/>
        </w:rPr>
        <w:t xml:space="preserve"> plan</w:t>
      </w:r>
      <w:r w:rsidR="00082741" w:rsidRPr="00657A2D">
        <w:rPr>
          <w:rFonts w:asciiTheme="minorHAnsi" w:hAnsiTheme="minorHAnsi" w:cstheme="minorHAnsi"/>
          <w:sz w:val="22"/>
          <w:szCs w:val="22"/>
        </w:rPr>
        <w:t xml:space="preserve">, </w:t>
      </w:r>
      <w:r w:rsidR="00B0516F" w:rsidRPr="00657A2D">
        <w:rPr>
          <w:rFonts w:asciiTheme="minorHAnsi" w:hAnsiTheme="minorHAnsi" w:cstheme="minorHAnsi"/>
          <w:sz w:val="22"/>
          <w:szCs w:val="22"/>
        </w:rPr>
        <w:t xml:space="preserve">and </w:t>
      </w:r>
      <w:r w:rsidR="00082741" w:rsidRPr="00657A2D">
        <w:rPr>
          <w:rFonts w:asciiTheme="minorHAnsi" w:hAnsiTheme="minorHAnsi" w:cstheme="minorHAnsi"/>
          <w:sz w:val="22"/>
          <w:szCs w:val="22"/>
        </w:rPr>
        <w:t>dust mitigation plan</w:t>
      </w:r>
      <w:r w:rsidR="00B0516F" w:rsidRPr="00657A2D">
        <w:rPr>
          <w:rFonts w:asciiTheme="minorHAnsi" w:hAnsiTheme="minorHAnsi" w:cstheme="minorHAnsi"/>
          <w:sz w:val="22"/>
          <w:szCs w:val="22"/>
        </w:rPr>
        <w:t>.</w:t>
      </w:r>
      <w:r w:rsidR="00082741" w:rsidRPr="00657A2D">
        <w:rPr>
          <w:rFonts w:asciiTheme="minorHAnsi" w:hAnsiTheme="minorHAnsi" w:cstheme="minorHAnsi"/>
          <w:sz w:val="22"/>
          <w:szCs w:val="22"/>
        </w:rPr>
        <w:t xml:space="preserve"> </w:t>
      </w:r>
    </w:p>
    <w:p w14:paraId="30F8038B" w14:textId="77777777" w:rsidR="00B463EA" w:rsidRPr="00657A2D" w:rsidRDefault="00EC5F89" w:rsidP="00BA39E9">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Hazardous materials. Present a plan, compliant with federal and state laws, to be implemented upon the release or exposure of any hazardous materials from the </w:t>
      </w:r>
      <w:r w:rsidR="00122978" w:rsidRPr="00657A2D">
        <w:rPr>
          <w:rFonts w:asciiTheme="minorHAnsi" w:hAnsiTheme="minorHAnsi" w:cstheme="minorHAnsi"/>
          <w:sz w:val="22"/>
          <w:szCs w:val="22"/>
        </w:rPr>
        <w:t>site</w:t>
      </w:r>
      <w:r w:rsidRPr="00657A2D">
        <w:rPr>
          <w:rFonts w:asciiTheme="minorHAnsi" w:hAnsiTheme="minorHAnsi" w:cstheme="minorHAnsi"/>
          <w:sz w:val="22"/>
          <w:szCs w:val="22"/>
        </w:rPr>
        <w:t xml:space="preserve">. Causation for release or exposure includes but not limited </w:t>
      </w:r>
      <w:proofErr w:type="gramStart"/>
      <w:r w:rsidRPr="00657A2D">
        <w:rPr>
          <w:rFonts w:asciiTheme="minorHAnsi" w:hAnsiTheme="minorHAnsi" w:cstheme="minorHAnsi"/>
          <w:sz w:val="22"/>
          <w:szCs w:val="22"/>
        </w:rPr>
        <w:t>to:</w:t>
      </w:r>
      <w:proofErr w:type="gramEnd"/>
      <w:r w:rsidRPr="00657A2D">
        <w:rPr>
          <w:rFonts w:asciiTheme="minorHAnsi" w:hAnsiTheme="minorHAnsi" w:cstheme="minorHAnsi"/>
          <w:sz w:val="22"/>
          <w:szCs w:val="22"/>
        </w:rPr>
        <w:t xml:space="preserve"> damage from natural occurrences such as inclement weather or damage from manmade events such as a motor vehicle collision or criminal acts of destruction.</w:t>
      </w:r>
    </w:p>
    <w:p w14:paraId="1BA57AB7" w14:textId="150E3EF2" w:rsidR="00224AF4" w:rsidRPr="00657A2D" w:rsidRDefault="00224AF4" w:rsidP="00C24CB1">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Abandonment, Decommissioning, and Reclamation Plan</w:t>
      </w:r>
      <w:r w:rsidR="00C24CB1" w:rsidRPr="00657A2D">
        <w:rPr>
          <w:rFonts w:asciiTheme="minorHAnsi" w:hAnsiTheme="minorHAnsi" w:cstheme="minorHAnsi"/>
          <w:sz w:val="22"/>
          <w:szCs w:val="22"/>
        </w:rPr>
        <w:t xml:space="preserve">: </w:t>
      </w:r>
      <w:r w:rsidRPr="00657A2D">
        <w:rPr>
          <w:rFonts w:asciiTheme="minorHAnsi" w:hAnsiTheme="minorHAnsi" w:cstheme="minorHAnsi"/>
          <w:sz w:val="22"/>
          <w:szCs w:val="22"/>
        </w:rPr>
        <w:t>A</w:t>
      </w:r>
      <w:r w:rsidR="00C24CB1" w:rsidRPr="00657A2D">
        <w:rPr>
          <w:rFonts w:asciiTheme="minorHAnsi" w:hAnsiTheme="minorHAnsi" w:cstheme="minorHAnsi"/>
          <w:sz w:val="22"/>
          <w:szCs w:val="22"/>
        </w:rPr>
        <w:t xml:space="preserve"> </w:t>
      </w:r>
      <w:r w:rsidRPr="00657A2D">
        <w:rPr>
          <w:rFonts w:asciiTheme="minorHAnsi" w:hAnsiTheme="minorHAnsi" w:cstheme="minorHAnsi"/>
          <w:sz w:val="22"/>
          <w:szCs w:val="22"/>
        </w:rPr>
        <w:t>decommissioning/reclamation plan shall be required to ensure that all</w:t>
      </w:r>
      <w:r w:rsidR="00C24CB1" w:rsidRPr="00657A2D">
        <w:rPr>
          <w:rFonts w:asciiTheme="minorHAnsi" w:hAnsiTheme="minorHAnsi" w:cstheme="minorHAnsi"/>
          <w:sz w:val="22"/>
          <w:szCs w:val="22"/>
        </w:rPr>
        <w:t xml:space="preserve"> </w:t>
      </w:r>
      <w:r w:rsidRPr="00657A2D">
        <w:rPr>
          <w:rFonts w:asciiTheme="minorHAnsi" w:hAnsiTheme="minorHAnsi" w:cstheme="minorHAnsi"/>
          <w:sz w:val="22"/>
          <w:szCs w:val="22"/>
        </w:rPr>
        <w:t>structures and equipment are properly removed after their useful life.</w:t>
      </w:r>
      <w:r w:rsidR="00C24CB1" w:rsidRPr="00657A2D">
        <w:rPr>
          <w:rFonts w:asciiTheme="minorHAnsi" w:hAnsiTheme="minorHAnsi" w:cstheme="minorHAnsi"/>
          <w:sz w:val="22"/>
          <w:szCs w:val="22"/>
        </w:rPr>
        <w:t xml:space="preserve"> </w:t>
      </w:r>
      <w:r w:rsidRPr="00657A2D">
        <w:rPr>
          <w:rFonts w:asciiTheme="minorHAnsi" w:hAnsiTheme="minorHAnsi" w:cstheme="minorHAnsi"/>
          <w:sz w:val="22"/>
          <w:szCs w:val="22"/>
        </w:rPr>
        <w:t xml:space="preserve">Decommissioning of Data Center or its components must occur </w:t>
      </w:r>
      <w:proofErr w:type="gramStart"/>
      <w:r w:rsidRPr="00657A2D">
        <w:rPr>
          <w:rFonts w:asciiTheme="minorHAnsi" w:hAnsiTheme="minorHAnsi" w:cstheme="minorHAnsi"/>
          <w:sz w:val="22"/>
          <w:szCs w:val="22"/>
        </w:rPr>
        <w:t>in the</w:t>
      </w:r>
      <w:r w:rsidR="00C24CB1" w:rsidRPr="00657A2D">
        <w:rPr>
          <w:rFonts w:asciiTheme="minorHAnsi" w:hAnsiTheme="minorHAnsi" w:cstheme="minorHAnsi"/>
          <w:sz w:val="22"/>
          <w:szCs w:val="22"/>
        </w:rPr>
        <w:t xml:space="preserve"> </w:t>
      </w:r>
      <w:r w:rsidRPr="00657A2D">
        <w:rPr>
          <w:rFonts w:asciiTheme="minorHAnsi" w:hAnsiTheme="minorHAnsi" w:cstheme="minorHAnsi"/>
          <w:sz w:val="22"/>
          <w:szCs w:val="22"/>
        </w:rPr>
        <w:t>event that</w:t>
      </w:r>
      <w:proofErr w:type="gramEnd"/>
      <w:r w:rsidRPr="00657A2D">
        <w:rPr>
          <w:rFonts w:asciiTheme="minorHAnsi" w:hAnsiTheme="minorHAnsi" w:cstheme="minorHAnsi"/>
          <w:sz w:val="22"/>
          <w:szCs w:val="22"/>
        </w:rPr>
        <w:t xml:space="preserve"> they do not properly operate and have no demonstrated plan to</w:t>
      </w:r>
      <w:r w:rsidR="00C24CB1" w:rsidRPr="00657A2D">
        <w:rPr>
          <w:rFonts w:asciiTheme="minorHAnsi" w:hAnsiTheme="minorHAnsi" w:cstheme="minorHAnsi"/>
          <w:sz w:val="22"/>
          <w:szCs w:val="22"/>
        </w:rPr>
        <w:t xml:space="preserve"> </w:t>
      </w:r>
      <w:r w:rsidRPr="00657A2D">
        <w:rPr>
          <w:rFonts w:asciiTheme="minorHAnsi" w:hAnsiTheme="minorHAnsi" w:cstheme="minorHAnsi"/>
          <w:sz w:val="22"/>
          <w:szCs w:val="22"/>
        </w:rPr>
        <w:t>restore to operating condition</w:t>
      </w:r>
      <w:r w:rsidR="00C24CB1" w:rsidRPr="00657A2D">
        <w:rPr>
          <w:rFonts w:asciiTheme="minorHAnsi" w:hAnsiTheme="minorHAnsi" w:cstheme="minorHAnsi"/>
          <w:sz w:val="22"/>
          <w:szCs w:val="22"/>
        </w:rPr>
        <w:t>.</w:t>
      </w:r>
    </w:p>
    <w:p w14:paraId="3DF0A4A9" w14:textId="77777777" w:rsidR="007A6706" w:rsidRPr="00657A2D" w:rsidRDefault="002A39D4" w:rsidP="007A6706">
      <w:pPr>
        <w:pStyle w:val="ListParagraph"/>
        <w:numPr>
          <w:ilvl w:val="0"/>
          <w:numId w:val="23"/>
        </w:numPr>
        <w:rPr>
          <w:rFonts w:asciiTheme="minorHAnsi" w:hAnsiTheme="minorHAnsi" w:cstheme="minorHAnsi"/>
          <w:sz w:val="22"/>
          <w:szCs w:val="22"/>
        </w:rPr>
      </w:pPr>
      <w:r w:rsidRPr="00657A2D">
        <w:rPr>
          <w:rFonts w:asciiTheme="minorHAnsi" w:hAnsiTheme="minorHAnsi" w:cstheme="minorHAnsi"/>
          <w:sz w:val="22"/>
          <w:szCs w:val="22"/>
        </w:rPr>
        <w:t xml:space="preserve">Bond Requirement: The applicant shall post a bond, with the </w:t>
      </w:r>
      <w:r w:rsidR="007A6706" w:rsidRPr="00657A2D">
        <w:rPr>
          <w:rFonts w:asciiTheme="minorHAnsi" w:hAnsiTheme="minorHAnsi" w:cstheme="minorHAnsi"/>
          <w:sz w:val="22"/>
          <w:szCs w:val="22"/>
        </w:rPr>
        <w:t>[City/</w:t>
      </w:r>
      <w:r w:rsidRPr="00657A2D">
        <w:rPr>
          <w:rFonts w:asciiTheme="minorHAnsi" w:hAnsiTheme="minorHAnsi" w:cstheme="minorHAnsi"/>
          <w:sz w:val="22"/>
          <w:szCs w:val="22"/>
        </w:rPr>
        <w:t>County</w:t>
      </w:r>
      <w:r w:rsidR="007A6706" w:rsidRPr="00657A2D">
        <w:rPr>
          <w:rFonts w:asciiTheme="minorHAnsi" w:hAnsiTheme="minorHAnsi" w:cstheme="minorHAnsi"/>
          <w:sz w:val="22"/>
          <w:szCs w:val="22"/>
        </w:rPr>
        <w:t>]</w:t>
      </w:r>
      <w:r w:rsidRPr="00657A2D">
        <w:rPr>
          <w:rFonts w:asciiTheme="minorHAnsi" w:hAnsiTheme="minorHAnsi" w:cstheme="minorHAnsi"/>
          <w:sz w:val="22"/>
          <w:szCs w:val="22"/>
        </w:rPr>
        <w:t xml:space="preserve"> Clerk, establish an escrow account, or provide such other financial security</w:t>
      </w:r>
      <w:r w:rsidR="007A6706" w:rsidRPr="00657A2D">
        <w:rPr>
          <w:rFonts w:asciiTheme="minorHAnsi" w:hAnsiTheme="minorHAnsi" w:cstheme="minorHAnsi"/>
          <w:sz w:val="22"/>
          <w:szCs w:val="22"/>
        </w:rPr>
        <w:t xml:space="preserve"> </w:t>
      </w:r>
      <w:r w:rsidRPr="00657A2D">
        <w:rPr>
          <w:rFonts w:asciiTheme="minorHAnsi" w:hAnsiTheme="minorHAnsi" w:cstheme="minorHAnsi"/>
          <w:sz w:val="22"/>
          <w:szCs w:val="22"/>
        </w:rPr>
        <w:t>deemed acceptable by the County, in an amount equal to the estimated</w:t>
      </w:r>
      <w:r w:rsidR="007A6706" w:rsidRPr="00657A2D">
        <w:rPr>
          <w:rFonts w:asciiTheme="minorHAnsi" w:hAnsiTheme="minorHAnsi" w:cstheme="minorHAnsi"/>
          <w:sz w:val="22"/>
          <w:szCs w:val="22"/>
        </w:rPr>
        <w:t xml:space="preserve"> </w:t>
      </w:r>
      <w:r w:rsidRPr="00657A2D">
        <w:rPr>
          <w:rFonts w:asciiTheme="minorHAnsi" w:hAnsiTheme="minorHAnsi" w:cstheme="minorHAnsi"/>
          <w:sz w:val="22"/>
          <w:szCs w:val="22"/>
        </w:rPr>
        <w:t>decommissioning costs, to ensure proper decommission and reclamation</w:t>
      </w:r>
      <w:r w:rsidR="007A6706" w:rsidRPr="00657A2D">
        <w:rPr>
          <w:rFonts w:asciiTheme="minorHAnsi" w:hAnsiTheme="minorHAnsi" w:cstheme="minorHAnsi"/>
          <w:sz w:val="22"/>
          <w:szCs w:val="22"/>
        </w:rPr>
        <w:t xml:space="preserve"> </w:t>
      </w:r>
      <w:r w:rsidRPr="00657A2D">
        <w:rPr>
          <w:rFonts w:asciiTheme="minorHAnsi" w:hAnsiTheme="minorHAnsi" w:cstheme="minorHAnsi"/>
          <w:sz w:val="22"/>
          <w:szCs w:val="22"/>
        </w:rPr>
        <w:t>of the site.</w:t>
      </w:r>
    </w:p>
    <w:p w14:paraId="5655A30A" w14:textId="10DB08E3" w:rsidR="00552FA0" w:rsidRPr="00657A2D" w:rsidRDefault="00EC5F89" w:rsidP="007A6706">
      <w:pPr>
        <w:pStyle w:val="ListParagraph"/>
        <w:numPr>
          <w:ilvl w:val="0"/>
          <w:numId w:val="23"/>
        </w:numPr>
        <w:rPr>
          <w:rFonts w:asciiTheme="minorHAnsi" w:hAnsiTheme="minorHAnsi" w:cstheme="minorHAnsi"/>
          <w:sz w:val="22"/>
          <w:szCs w:val="22"/>
        </w:rPr>
        <w:sectPr w:rsidR="00552FA0" w:rsidRPr="00657A2D">
          <w:headerReference w:type="default" r:id="rId19"/>
          <w:footerReference w:type="default" r:id="rId20"/>
          <w:type w:val="continuous"/>
          <w:pgSz w:w="12240" w:h="15840"/>
          <w:pgMar w:top="1440" w:right="1440" w:bottom="1440" w:left="1440" w:header="720" w:footer="720" w:gutter="0"/>
          <w:cols w:space="720"/>
        </w:sectPr>
      </w:pPr>
      <w:r w:rsidRPr="00657A2D">
        <w:rPr>
          <w:rFonts w:asciiTheme="minorHAnsi" w:hAnsiTheme="minorHAnsi" w:cstheme="minorHAnsi"/>
          <w:sz w:val="22"/>
          <w:szCs w:val="22"/>
        </w:rPr>
        <w:t xml:space="preserve">Additional requirements. The </w:t>
      </w:r>
      <w:r w:rsidR="00EA3B71" w:rsidRPr="00657A2D">
        <w:rPr>
          <w:rFonts w:asciiTheme="minorHAnsi" w:hAnsiTheme="minorHAnsi" w:cstheme="minorHAnsi"/>
          <w:sz w:val="22"/>
          <w:szCs w:val="22"/>
        </w:rPr>
        <w:t>[city/</w:t>
      </w:r>
      <w:r w:rsidRPr="00657A2D">
        <w:rPr>
          <w:rFonts w:asciiTheme="minorHAnsi" w:hAnsiTheme="minorHAnsi" w:cstheme="minorHAnsi"/>
          <w:sz w:val="22"/>
          <w:szCs w:val="22"/>
        </w:rPr>
        <w:t>county</w:t>
      </w:r>
      <w:r w:rsidR="00EA3B71" w:rsidRPr="00657A2D">
        <w:rPr>
          <w:rFonts w:asciiTheme="minorHAnsi" w:hAnsiTheme="minorHAnsi" w:cstheme="minorHAnsi"/>
          <w:sz w:val="22"/>
          <w:szCs w:val="22"/>
        </w:rPr>
        <w:t>]</w:t>
      </w:r>
      <w:r w:rsidRPr="00657A2D">
        <w:rPr>
          <w:rFonts w:asciiTheme="minorHAnsi" w:hAnsiTheme="minorHAnsi" w:cstheme="minorHAnsi"/>
          <w:sz w:val="22"/>
          <w:szCs w:val="22"/>
        </w:rPr>
        <w:t xml:space="preserve"> may require other studies, reports, certifications, and/or approvals to ensure compliance with this section</w:t>
      </w:r>
      <w:r w:rsidR="006677B8" w:rsidRPr="00657A2D">
        <w:rPr>
          <w:rFonts w:asciiTheme="minorHAnsi" w:hAnsiTheme="minorHAnsi" w:cstheme="minorHAnsi"/>
          <w:sz w:val="22"/>
          <w:szCs w:val="22"/>
        </w:rPr>
        <w:t>.</w:t>
      </w:r>
    </w:p>
    <w:p w14:paraId="654D1D01" w14:textId="77777777" w:rsidR="00B1031D" w:rsidRPr="00657A2D" w:rsidRDefault="00B1031D" w:rsidP="00B1031D">
      <w:pPr>
        <w:rPr>
          <w:rFonts w:asciiTheme="minorHAnsi" w:hAnsiTheme="minorHAnsi" w:cstheme="minorHAnsi"/>
          <w:b/>
          <w:bCs/>
          <w:sz w:val="22"/>
          <w:szCs w:val="22"/>
        </w:rPr>
      </w:pPr>
      <w:r w:rsidRPr="00657A2D">
        <w:rPr>
          <w:rFonts w:asciiTheme="minorHAnsi" w:hAnsiTheme="minorHAnsi" w:cstheme="minorHAnsi"/>
          <w:b/>
          <w:bCs/>
          <w:sz w:val="22"/>
          <w:szCs w:val="22"/>
        </w:rPr>
        <w:t>Section XX. Community Meetings</w:t>
      </w:r>
    </w:p>
    <w:p w14:paraId="42C45A97" w14:textId="77777777" w:rsidR="00B1031D" w:rsidRPr="00657A2D" w:rsidRDefault="00B1031D" w:rsidP="00B1031D">
      <w:pPr>
        <w:rPr>
          <w:rFonts w:asciiTheme="minorHAnsi" w:hAnsiTheme="minorHAnsi" w:cstheme="minorHAnsi"/>
          <w:sz w:val="22"/>
          <w:szCs w:val="22"/>
        </w:rPr>
      </w:pPr>
      <w:r w:rsidRPr="00657A2D">
        <w:rPr>
          <w:rFonts w:asciiTheme="minorHAnsi" w:hAnsiTheme="minorHAnsi" w:cstheme="minorHAnsi"/>
          <w:sz w:val="22"/>
          <w:szCs w:val="22"/>
        </w:rPr>
        <w:t xml:space="preserve">After </w:t>
      </w:r>
      <w:proofErr w:type="gramStart"/>
      <w:r w:rsidRPr="00657A2D">
        <w:rPr>
          <w:rFonts w:asciiTheme="minorHAnsi" w:hAnsiTheme="minorHAnsi" w:cstheme="minorHAnsi"/>
          <w:sz w:val="22"/>
          <w:szCs w:val="22"/>
        </w:rPr>
        <w:t>submitting an application</w:t>
      </w:r>
      <w:proofErr w:type="gramEnd"/>
      <w:r w:rsidRPr="00657A2D">
        <w:rPr>
          <w:rFonts w:asciiTheme="minorHAnsi" w:hAnsiTheme="minorHAnsi" w:cstheme="minorHAnsi"/>
          <w:sz w:val="22"/>
          <w:szCs w:val="22"/>
        </w:rPr>
        <w:t>, the Applicant must schedule and attend two (2) community meetings with residents to describe the project. The meetings must</w:t>
      </w:r>
    </w:p>
    <w:p w14:paraId="1CB776B4" w14:textId="77777777" w:rsidR="00B1031D" w:rsidRPr="00657A2D" w:rsidRDefault="00B1031D" w:rsidP="00B1031D">
      <w:pPr>
        <w:pStyle w:val="ListParagraph"/>
        <w:numPr>
          <w:ilvl w:val="0"/>
          <w:numId w:val="33"/>
        </w:numPr>
        <w:rPr>
          <w:rFonts w:asciiTheme="minorHAnsi" w:hAnsiTheme="minorHAnsi" w:cstheme="minorHAnsi"/>
          <w:sz w:val="22"/>
          <w:szCs w:val="22"/>
        </w:rPr>
      </w:pPr>
      <w:r w:rsidRPr="00657A2D">
        <w:rPr>
          <w:rFonts w:asciiTheme="minorHAnsi" w:hAnsiTheme="minorHAnsi" w:cstheme="minorHAnsi"/>
          <w:sz w:val="22"/>
          <w:szCs w:val="22"/>
        </w:rPr>
        <w:t xml:space="preserve">occur at least fourteen (14) days apart, </w:t>
      </w:r>
    </w:p>
    <w:p w14:paraId="18AD2153" w14:textId="022FB280" w:rsidR="00B1031D" w:rsidRPr="00657A2D" w:rsidRDefault="00B1031D" w:rsidP="00B1031D">
      <w:pPr>
        <w:pStyle w:val="ListParagraph"/>
        <w:numPr>
          <w:ilvl w:val="0"/>
          <w:numId w:val="33"/>
        </w:numPr>
        <w:rPr>
          <w:rFonts w:asciiTheme="minorHAnsi" w:hAnsiTheme="minorHAnsi" w:cstheme="minorHAnsi"/>
          <w:sz w:val="22"/>
          <w:szCs w:val="22"/>
        </w:rPr>
      </w:pPr>
      <w:r w:rsidRPr="00657A2D">
        <w:rPr>
          <w:rFonts w:asciiTheme="minorHAnsi" w:hAnsiTheme="minorHAnsi" w:cstheme="minorHAnsi"/>
          <w:sz w:val="22"/>
          <w:szCs w:val="22"/>
        </w:rPr>
        <w:t xml:space="preserve">must be conducted within </w:t>
      </w:r>
      <w:r w:rsidR="00E70C90" w:rsidRPr="00657A2D">
        <w:rPr>
          <w:rFonts w:asciiTheme="minorHAnsi" w:hAnsiTheme="minorHAnsi" w:cstheme="minorHAnsi"/>
          <w:sz w:val="22"/>
          <w:szCs w:val="22"/>
        </w:rPr>
        <w:t>[</w:t>
      </w:r>
      <w:r w:rsidR="00674F8E" w:rsidRPr="00657A2D">
        <w:rPr>
          <w:rFonts w:asciiTheme="minorHAnsi" w:hAnsiTheme="minorHAnsi" w:cstheme="minorHAnsi"/>
          <w:sz w:val="22"/>
          <w:szCs w:val="22"/>
        </w:rPr>
        <w:t>city/c</w:t>
      </w:r>
      <w:r w:rsidRPr="00657A2D">
        <w:rPr>
          <w:rFonts w:asciiTheme="minorHAnsi" w:hAnsiTheme="minorHAnsi" w:cstheme="minorHAnsi"/>
          <w:sz w:val="22"/>
          <w:szCs w:val="22"/>
        </w:rPr>
        <w:t>ounty</w:t>
      </w:r>
      <w:r w:rsidR="00E70C90" w:rsidRPr="00657A2D">
        <w:rPr>
          <w:rFonts w:asciiTheme="minorHAnsi" w:hAnsiTheme="minorHAnsi" w:cstheme="minorHAnsi"/>
          <w:sz w:val="22"/>
          <w:szCs w:val="22"/>
        </w:rPr>
        <w:t>]</w:t>
      </w:r>
      <w:r w:rsidRPr="00657A2D">
        <w:rPr>
          <w:rFonts w:asciiTheme="minorHAnsi" w:hAnsiTheme="minorHAnsi" w:cstheme="minorHAnsi"/>
          <w:sz w:val="22"/>
          <w:szCs w:val="22"/>
        </w:rPr>
        <w:t xml:space="preserve">, and </w:t>
      </w:r>
    </w:p>
    <w:p w14:paraId="7DEFDBBA" w14:textId="4CF7F64F" w:rsidR="00B1031D" w:rsidRPr="00657A2D" w:rsidRDefault="00B1031D" w:rsidP="00B1031D">
      <w:pPr>
        <w:pStyle w:val="ListParagraph"/>
        <w:numPr>
          <w:ilvl w:val="0"/>
          <w:numId w:val="33"/>
        </w:numPr>
        <w:rPr>
          <w:rFonts w:asciiTheme="minorHAnsi" w:hAnsiTheme="minorHAnsi" w:cstheme="minorHAnsi"/>
          <w:sz w:val="22"/>
          <w:szCs w:val="22"/>
        </w:rPr>
      </w:pPr>
      <w:r w:rsidRPr="00657A2D">
        <w:rPr>
          <w:rFonts w:asciiTheme="minorHAnsi" w:hAnsiTheme="minorHAnsi" w:cstheme="minorHAnsi"/>
          <w:sz w:val="22"/>
          <w:szCs w:val="22"/>
        </w:rPr>
        <w:t xml:space="preserve">be conducted between the hours of 5pm and 8pm. </w:t>
      </w:r>
    </w:p>
    <w:p w14:paraId="5A5E91E5" w14:textId="4A58C948" w:rsidR="00B1031D" w:rsidRPr="00657A2D" w:rsidRDefault="00B1031D" w:rsidP="0030442F">
      <w:pPr>
        <w:rPr>
          <w:rFonts w:asciiTheme="minorHAnsi" w:hAnsiTheme="minorHAnsi" w:cstheme="minorHAnsi"/>
          <w:sz w:val="22"/>
          <w:szCs w:val="22"/>
        </w:rPr>
      </w:pPr>
      <w:r w:rsidRPr="00657A2D">
        <w:rPr>
          <w:rFonts w:asciiTheme="minorHAnsi" w:hAnsiTheme="minorHAnsi" w:cstheme="minorHAnsi"/>
          <w:sz w:val="22"/>
          <w:szCs w:val="22"/>
        </w:rPr>
        <w:t xml:space="preserve">Notice of the community meetings must be mailed to all property owners within </w:t>
      </w:r>
      <w:proofErr w:type="gramStart"/>
      <w:r w:rsidRPr="00657A2D">
        <w:rPr>
          <w:rFonts w:asciiTheme="minorHAnsi" w:hAnsiTheme="minorHAnsi" w:cstheme="minorHAnsi"/>
          <w:sz w:val="22"/>
          <w:szCs w:val="22"/>
        </w:rPr>
        <w:t>1,500-feet</w:t>
      </w:r>
      <w:proofErr w:type="gramEnd"/>
      <w:r w:rsidRPr="00657A2D">
        <w:rPr>
          <w:rFonts w:asciiTheme="minorHAnsi" w:hAnsiTheme="minorHAnsi" w:cstheme="minorHAnsi"/>
          <w:sz w:val="22"/>
          <w:szCs w:val="22"/>
        </w:rPr>
        <w:t xml:space="preserve"> of the property lines. A representative of the </w:t>
      </w:r>
      <w:r w:rsidR="00674F8E" w:rsidRPr="00657A2D">
        <w:rPr>
          <w:rFonts w:asciiTheme="minorHAnsi" w:hAnsiTheme="minorHAnsi" w:cstheme="minorHAnsi"/>
          <w:sz w:val="22"/>
          <w:szCs w:val="22"/>
        </w:rPr>
        <w:t xml:space="preserve">data center </w:t>
      </w:r>
      <w:r w:rsidRPr="00657A2D">
        <w:rPr>
          <w:rFonts w:asciiTheme="minorHAnsi" w:hAnsiTheme="minorHAnsi" w:cstheme="minorHAnsi"/>
          <w:sz w:val="22"/>
          <w:szCs w:val="22"/>
        </w:rPr>
        <w:t xml:space="preserve">developer or operator with decision-making authority on the design of the data center must attend the community meetings. The Applicant or property owner must post signage on the subject property, at least fourteen (14) days before each community meeting. The signage must be located along an arterial street or other high-visibility location as reasonably determined by the </w:t>
      </w:r>
      <w:r w:rsidR="00501326" w:rsidRPr="00657A2D">
        <w:rPr>
          <w:rFonts w:asciiTheme="minorHAnsi" w:hAnsiTheme="minorHAnsi" w:cstheme="minorHAnsi"/>
          <w:sz w:val="22"/>
          <w:szCs w:val="22"/>
        </w:rPr>
        <w:t>[city/county department] Director</w:t>
      </w:r>
      <w:r w:rsidRPr="00657A2D">
        <w:rPr>
          <w:rFonts w:asciiTheme="minorHAnsi" w:hAnsiTheme="minorHAnsi" w:cstheme="minorHAnsi"/>
          <w:sz w:val="22"/>
          <w:szCs w:val="22"/>
        </w:rPr>
        <w:t xml:space="preserve">. The content of the sign shall include the applicant’s name and contact information, a brief description of the Data Center project, and the date, time, and location of the community meeting, and must be reviewed and approved by the </w:t>
      </w:r>
      <w:r w:rsidR="00501326" w:rsidRPr="00657A2D">
        <w:rPr>
          <w:rFonts w:asciiTheme="minorHAnsi" w:hAnsiTheme="minorHAnsi" w:cstheme="minorHAnsi"/>
          <w:sz w:val="22"/>
          <w:szCs w:val="22"/>
        </w:rPr>
        <w:t xml:space="preserve">[city/county department] </w:t>
      </w:r>
      <w:r w:rsidRPr="00657A2D">
        <w:rPr>
          <w:rFonts w:asciiTheme="minorHAnsi" w:hAnsiTheme="minorHAnsi" w:cstheme="minorHAnsi"/>
          <w:sz w:val="22"/>
          <w:szCs w:val="22"/>
        </w:rPr>
        <w:t>Director before installation. The Applicant must remove the signage at the conclusion of the community meetings. The applicant must provide written affirmation of compliance with this requirement.</w:t>
      </w:r>
    </w:p>
    <w:p w14:paraId="73F36BD2" w14:textId="45F5450C"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4277E6" w:rsidRPr="00657A2D">
        <w:rPr>
          <w:rFonts w:asciiTheme="minorHAnsi" w:hAnsiTheme="minorHAnsi" w:cstheme="minorHAnsi"/>
          <w:b/>
          <w:bCs/>
          <w:sz w:val="22"/>
          <w:szCs w:val="22"/>
        </w:rPr>
        <w:t>XX</w:t>
      </w:r>
      <w:r w:rsidRPr="00657A2D">
        <w:rPr>
          <w:rFonts w:asciiTheme="minorHAnsi" w:hAnsiTheme="minorHAnsi" w:cstheme="minorHAnsi"/>
          <w:b/>
          <w:bCs/>
          <w:sz w:val="22"/>
          <w:szCs w:val="22"/>
        </w:rPr>
        <w:t xml:space="preserve">. Specific requirements applicable to all </w:t>
      </w:r>
      <w:r w:rsidR="00AF2358" w:rsidRPr="00657A2D">
        <w:rPr>
          <w:rFonts w:asciiTheme="minorHAnsi" w:hAnsiTheme="minorHAnsi" w:cstheme="minorHAnsi"/>
          <w:b/>
          <w:bCs/>
          <w:sz w:val="22"/>
          <w:szCs w:val="22"/>
        </w:rPr>
        <w:t xml:space="preserve">new </w:t>
      </w:r>
      <w:r w:rsidR="004277E6" w:rsidRPr="00657A2D">
        <w:rPr>
          <w:rFonts w:asciiTheme="minorHAnsi" w:hAnsiTheme="minorHAnsi" w:cstheme="minorHAnsi"/>
          <w:b/>
          <w:bCs/>
          <w:sz w:val="22"/>
          <w:szCs w:val="22"/>
        </w:rPr>
        <w:t xml:space="preserve">data center </w:t>
      </w:r>
      <w:r w:rsidR="00C46714" w:rsidRPr="00657A2D">
        <w:rPr>
          <w:rFonts w:asciiTheme="minorHAnsi" w:hAnsiTheme="minorHAnsi" w:cstheme="minorHAnsi"/>
          <w:b/>
          <w:bCs/>
          <w:sz w:val="22"/>
          <w:szCs w:val="22"/>
        </w:rPr>
        <w:t xml:space="preserve">campuses and/or </w:t>
      </w:r>
      <w:r w:rsidR="004277E6" w:rsidRPr="00657A2D">
        <w:rPr>
          <w:rFonts w:asciiTheme="minorHAnsi" w:hAnsiTheme="minorHAnsi" w:cstheme="minorHAnsi"/>
          <w:b/>
          <w:bCs/>
          <w:sz w:val="22"/>
          <w:szCs w:val="22"/>
        </w:rPr>
        <w:t>facilities</w:t>
      </w:r>
      <w:r w:rsidR="00FD3F27" w:rsidRPr="00657A2D">
        <w:rPr>
          <w:rFonts w:asciiTheme="minorHAnsi" w:hAnsiTheme="minorHAnsi" w:cstheme="minorHAnsi"/>
          <w:b/>
          <w:bCs/>
          <w:sz w:val="22"/>
          <w:szCs w:val="22"/>
        </w:rPr>
        <w:t>.</w:t>
      </w:r>
    </w:p>
    <w:p w14:paraId="5D46A457" w14:textId="77777777" w:rsidR="00AA3CE0" w:rsidRPr="00657A2D" w:rsidRDefault="00AA3CE0" w:rsidP="00AA3CE0">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lastRenderedPageBreak/>
        <w:t xml:space="preserve">Data center facilities shall comply with the local floodplain management ordinance, as applicable, and shall not be permitted within the floodway. </w:t>
      </w:r>
    </w:p>
    <w:p w14:paraId="46B5B1EB" w14:textId="22EB7F86" w:rsidR="00544E13" w:rsidRPr="00657A2D" w:rsidRDefault="00B463EA" w:rsidP="00BA39E9">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Data center </w:t>
      </w:r>
      <w:r w:rsidR="00544E13" w:rsidRPr="00657A2D">
        <w:rPr>
          <w:rFonts w:asciiTheme="minorHAnsi" w:hAnsiTheme="minorHAnsi" w:cstheme="minorHAnsi"/>
          <w:sz w:val="22"/>
          <w:szCs w:val="22"/>
        </w:rPr>
        <w:t xml:space="preserve">campuses and/or facilities </w:t>
      </w:r>
      <w:r w:rsidRPr="00657A2D">
        <w:rPr>
          <w:rFonts w:asciiTheme="minorHAnsi" w:hAnsiTheme="minorHAnsi" w:cstheme="minorHAnsi"/>
          <w:sz w:val="22"/>
          <w:szCs w:val="22"/>
        </w:rPr>
        <w:t xml:space="preserve">must comply with International Building Code and International Residential Code requirements, as applicable. </w:t>
      </w:r>
    </w:p>
    <w:p w14:paraId="5B28AA23" w14:textId="031D1405" w:rsidR="00943C91" w:rsidRPr="00657A2D" w:rsidRDefault="00943C91" w:rsidP="00947650">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Buffers. Data center buildings that adjoin property </w:t>
      </w:r>
      <w:proofErr w:type="gramStart"/>
      <w:r w:rsidRPr="00657A2D">
        <w:rPr>
          <w:rFonts w:asciiTheme="minorHAnsi" w:hAnsiTheme="minorHAnsi" w:cstheme="minorHAnsi"/>
          <w:sz w:val="22"/>
          <w:szCs w:val="22"/>
        </w:rPr>
        <w:t>zoned</w:t>
      </w:r>
      <w:proofErr w:type="gramEnd"/>
      <w:r w:rsidRPr="00657A2D">
        <w:rPr>
          <w:rFonts w:asciiTheme="minorHAnsi" w:hAnsiTheme="minorHAnsi" w:cstheme="minorHAnsi"/>
          <w:sz w:val="22"/>
          <w:szCs w:val="22"/>
        </w:rPr>
        <w:t xml:space="preserve"> or used for residential purposes are subject to the following requirements:  </w:t>
      </w:r>
    </w:p>
    <w:p w14:paraId="48C32C39" w14:textId="1529704D" w:rsidR="00DC5926" w:rsidRPr="00657A2D" w:rsidRDefault="00943C91" w:rsidP="00947650">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Minimum Buffer: </w:t>
      </w:r>
      <w:r w:rsidR="009544CC" w:rsidRPr="00C83120">
        <w:rPr>
          <w:rFonts w:asciiTheme="minorHAnsi" w:hAnsiTheme="minorHAnsi" w:cstheme="minorHAnsi"/>
          <w:sz w:val="22"/>
          <w:szCs w:val="22"/>
          <w:highlight w:val="yellow"/>
        </w:rPr>
        <w:t>3</w:t>
      </w:r>
      <w:r w:rsidRPr="00C83120">
        <w:rPr>
          <w:rFonts w:asciiTheme="minorHAnsi" w:hAnsiTheme="minorHAnsi" w:cstheme="minorHAnsi"/>
          <w:sz w:val="22"/>
          <w:szCs w:val="22"/>
          <w:highlight w:val="yellow"/>
        </w:rPr>
        <w:t>00 feet</w:t>
      </w:r>
      <w:r w:rsidRPr="00657A2D">
        <w:rPr>
          <w:rFonts w:asciiTheme="minorHAnsi" w:hAnsiTheme="minorHAnsi" w:cstheme="minorHAnsi"/>
          <w:sz w:val="22"/>
          <w:szCs w:val="22"/>
        </w:rPr>
        <w:t xml:space="preserve"> from the property </w:t>
      </w:r>
      <w:proofErr w:type="gramStart"/>
      <w:r w:rsidRPr="00657A2D">
        <w:rPr>
          <w:rFonts w:asciiTheme="minorHAnsi" w:hAnsiTheme="minorHAnsi" w:cstheme="minorHAnsi"/>
          <w:sz w:val="22"/>
          <w:szCs w:val="22"/>
        </w:rPr>
        <w:t>line</w:t>
      </w:r>
      <w:r w:rsidR="00DC5926" w:rsidRPr="00657A2D">
        <w:rPr>
          <w:rFonts w:asciiTheme="minorHAnsi" w:hAnsiTheme="minorHAnsi" w:cstheme="minorHAnsi"/>
          <w:sz w:val="22"/>
          <w:szCs w:val="22"/>
        </w:rPr>
        <w:t>;</w:t>
      </w:r>
      <w:proofErr w:type="gramEnd"/>
    </w:p>
    <w:p w14:paraId="7CBA75CC" w14:textId="1DBFFA30" w:rsidR="00947650" w:rsidRPr="00657A2D" w:rsidRDefault="00947650" w:rsidP="00947650">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V</w:t>
      </w:r>
      <w:r w:rsidR="00943C91" w:rsidRPr="00657A2D">
        <w:rPr>
          <w:rFonts w:asciiTheme="minorHAnsi" w:hAnsiTheme="minorHAnsi" w:cstheme="minorHAnsi"/>
          <w:sz w:val="22"/>
          <w:szCs w:val="22"/>
        </w:rPr>
        <w:t xml:space="preserve">egetation. Where a buffer is required, the first 100 feet along the property line shall remain in an undisturbed, natural state, except for approved fencing, access and utility improvements; however, if the first 100 feet along the property line is devoid of vegetation, it shall be planted in accordance </w:t>
      </w:r>
      <w:r w:rsidR="00943C91" w:rsidRPr="00657A2D">
        <w:rPr>
          <w:rFonts w:asciiTheme="minorHAnsi" w:hAnsiTheme="minorHAnsi" w:cstheme="minorHAnsi"/>
          <w:sz w:val="22"/>
          <w:szCs w:val="22"/>
          <w:highlight w:val="yellow"/>
        </w:rPr>
        <w:t xml:space="preserve">with Article </w:t>
      </w:r>
      <w:r w:rsidR="006E3E1F" w:rsidRPr="00657A2D">
        <w:rPr>
          <w:rFonts w:asciiTheme="minorHAnsi" w:hAnsiTheme="minorHAnsi" w:cstheme="minorHAnsi"/>
          <w:sz w:val="22"/>
          <w:szCs w:val="22"/>
          <w:highlight w:val="yellow"/>
        </w:rPr>
        <w:t>XX</w:t>
      </w:r>
      <w:r w:rsidR="00943C91" w:rsidRPr="00657A2D">
        <w:rPr>
          <w:rFonts w:asciiTheme="minorHAnsi" w:hAnsiTheme="minorHAnsi" w:cstheme="minorHAnsi"/>
          <w:sz w:val="22"/>
          <w:szCs w:val="22"/>
        </w:rPr>
        <w:t xml:space="preserve">. The remaining 100 feet buffer may be disturbed and graded. If the buffer is disturbed, it shall be planted in accordance with </w:t>
      </w:r>
      <w:r w:rsidR="00943C91" w:rsidRPr="00657A2D">
        <w:rPr>
          <w:rFonts w:asciiTheme="minorHAnsi" w:hAnsiTheme="minorHAnsi" w:cstheme="minorHAnsi"/>
          <w:sz w:val="22"/>
          <w:szCs w:val="22"/>
          <w:highlight w:val="yellow"/>
        </w:rPr>
        <w:t xml:space="preserve">Article </w:t>
      </w:r>
      <w:r w:rsidRPr="00657A2D">
        <w:rPr>
          <w:rFonts w:asciiTheme="minorHAnsi" w:hAnsiTheme="minorHAnsi" w:cstheme="minorHAnsi"/>
          <w:sz w:val="22"/>
          <w:szCs w:val="22"/>
          <w:highlight w:val="yellow"/>
        </w:rPr>
        <w:t>XX</w:t>
      </w:r>
      <w:r w:rsidRPr="00657A2D">
        <w:rPr>
          <w:rFonts w:asciiTheme="minorHAnsi" w:hAnsiTheme="minorHAnsi" w:cstheme="minorHAnsi"/>
          <w:sz w:val="22"/>
          <w:szCs w:val="22"/>
        </w:rPr>
        <w:t>.</w:t>
      </w:r>
    </w:p>
    <w:p w14:paraId="7E72FE83" w14:textId="4CBCF0AE" w:rsidR="00544E13" w:rsidRPr="00657A2D" w:rsidRDefault="00EC5F89" w:rsidP="00943C91">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Clearing of natural vegetation shall be limited to that which is necessary for construction, operation, and maintenance of the </w:t>
      </w:r>
      <w:r w:rsidR="00D87BD1" w:rsidRPr="00657A2D">
        <w:rPr>
          <w:rFonts w:asciiTheme="minorHAnsi" w:hAnsiTheme="minorHAnsi" w:cstheme="minorHAnsi"/>
          <w:sz w:val="22"/>
          <w:szCs w:val="22"/>
        </w:rPr>
        <w:t>data center facili</w:t>
      </w:r>
      <w:r w:rsidR="00E01F74" w:rsidRPr="00657A2D">
        <w:rPr>
          <w:rFonts w:asciiTheme="minorHAnsi" w:hAnsiTheme="minorHAnsi" w:cstheme="minorHAnsi"/>
          <w:sz w:val="22"/>
          <w:szCs w:val="22"/>
        </w:rPr>
        <w:t xml:space="preserve">ty and campus </w:t>
      </w:r>
      <w:r w:rsidRPr="00657A2D">
        <w:rPr>
          <w:rFonts w:asciiTheme="minorHAnsi" w:hAnsiTheme="minorHAnsi" w:cstheme="minorHAnsi"/>
          <w:sz w:val="22"/>
          <w:szCs w:val="22"/>
        </w:rPr>
        <w:t xml:space="preserve">compliant with applicable sections within chapter </w:t>
      </w:r>
      <w:r w:rsidR="009A2F15" w:rsidRPr="00657A2D">
        <w:rPr>
          <w:rFonts w:asciiTheme="minorHAnsi" w:hAnsiTheme="minorHAnsi" w:cstheme="minorHAnsi"/>
          <w:sz w:val="22"/>
          <w:szCs w:val="22"/>
        </w:rPr>
        <w:t>XX</w:t>
      </w:r>
      <w:r w:rsidRPr="00657A2D">
        <w:rPr>
          <w:rFonts w:asciiTheme="minorHAnsi" w:hAnsiTheme="minorHAnsi" w:cstheme="minorHAnsi"/>
          <w:sz w:val="22"/>
          <w:szCs w:val="22"/>
        </w:rPr>
        <w:t xml:space="preserve">—environment, of the </w:t>
      </w:r>
      <w:r w:rsidR="00D9097F" w:rsidRPr="00657A2D">
        <w:rPr>
          <w:rFonts w:asciiTheme="minorHAnsi" w:hAnsiTheme="minorHAnsi" w:cstheme="minorHAnsi"/>
          <w:sz w:val="22"/>
          <w:szCs w:val="22"/>
        </w:rPr>
        <w:t>[</w:t>
      </w:r>
      <w:r w:rsidR="00203E93" w:rsidRPr="00657A2D">
        <w:rPr>
          <w:rFonts w:asciiTheme="minorHAnsi" w:hAnsiTheme="minorHAnsi" w:cstheme="minorHAnsi"/>
          <w:sz w:val="22"/>
          <w:szCs w:val="22"/>
        </w:rPr>
        <w:t>city/county</w:t>
      </w:r>
      <w:r w:rsidR="00D9097F" w:rsidRPr="00657A2D">
        <w:rPr>
          <w:rFonts w:asciiTheme="minorHAnsi" w:hAnsiTheme="minorHAnsi" w:cstheme="minorHAnsi"/>
          <w:sz w:val="22"/>
          <w:szCs w:val="22"/>
        </w:rPr>
        <w:t>]</w:t>
      </w:r>
      <w:r w:rsidR="00203E93" w:rsidRPr="00657A2D">
        <w:rPr>
          <w:rFonts w:asciiTheme="minorHAnsi" w:hAnsiTheme="minorHAnsi" w:cstheme="minorHAnsi"/>
          <w:sz w:val="22"/>
          <w:szCs w:val="22"/>
        </w:rPr>
        <w:t xml:space="preserve"> </w:t>
      </w:r>
      <w:r w:rsidRPr="00657A2D">
        <w:rPr>
          <w:rFonts w:asciiTheme="minorHAnsi" w:hAnsiTheme="minorHAnsi" w:cstheme="minorHAnsi"/>
          <w:sz w:val="22"/>
          <w:szCs w:val="22"/>
        </w:rPr>
        <w:t xml:space="preserve">Code of Ordinances. </w:t>
      </w:r>
    </w:p>
    <w:p w14:paraId="71A0E773" w14:textId="77777777" w:rsidR="00544E13" w:rsidRPr="00657A2D" w:rsidRDefault="00EC5F89" w:rsidP="00BA39E9">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No more than 50 contiguous acres or 50 acres of a project site may be disturbed at any one time. </w:t>
      </w:r>
    </w:p>
    <w:p w14:paraId="4CA97504" w14:textId="77777777" w:rsidR="0070790C" w:rsidRPr="00657A2D" w:rsidRDefault="0070790C" w:rsidP="002B6AC1">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Noise</w:t>
      </w:r>
    </w:p>
    <w:p w14:paraId="2273DDF4" w14:textId="43A58ACB" w:rsidR="0070790C" w:rsidRPr="00657A2D" w:rsidRDefault="002B6AC1" w:rsidP="0070790C">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Nighttime. Between </w:t>
      </w:r>
      <w:r w:rsidR="009558A9" w:rsidRPr="00657A2D">
        <w:rPr>
          <w:rFonts w:asciiTheme="minorHAnsi" w:hAnsiTheme="minorHAnsi" w:cstheme="minorHAnsi"/>
          <w:sz w:val="22"/>
          <w:szCs w:val="22"/>
        </w:rPr>
        <w:t>9</w:t>
      </w:r>
      <w:r w:rsidRPr="00657A2D">
        <w:rPr>
          <w:rFonts w:asciiTheme="minorHAnsi" w:hAnsiTheme="minorHAnsi" w:cstheme="minorHAnsi"/>
          <w:sz w:val="22"/>
          <w:szCs w:val="22"/>
        </w:rPr>
        <w:t xml:space="preserve">:00 p.m. and 7:00 a.m., the data center shall not generate noise </w:t>
      </w:r>
      <w:proofErr w:type="gramStart"/>
      <w:r w:rsidRPr="00657A2D">
        <w:rPr>
          <w:rFonts w:asciiTheme="minorHAnsi" w:hAnsiTheme="minorHAnsi" w:cstheme="minorHAnsi"/>
          <w:sz w:val="22"/>
          <w:szCs w:val="22"/>
        </w:rPr>
        <w:t>in excess of</w:t>
      </w:r>
      <w:proofErr w:type="gramEnd"/>
      <w:r w:rsidRPr="00657A2D">
        <w:rPr>
          <w:rFonts w:asciiTheme="minorHAnsi" w:hAnsiTheme="minorHAnsi" w:cstheme="minorHAnsi"/>
          <w:sz w:val="22"/>
          <w:szCs w:val="22"/>
        </w:rPr>
        <w:t xml:space="preserve"> </w:t>
      </w:r>
      <w:r w:rsidR="00337FEA" w:rsidRPr="00657A2D">
        <w:rPr>
          <w:rFonts w:asciiTheme="minorHAnsi" w:hAnsiTheme="minorHAnsi" w:cstheme="minorHAnsi"/>
          <w:sz w:val="22"/>
          <w:szCs w:val="22"/>
        </w:rPr>
        <w:t>40</w:t>
      </w:r>
      <w:r w:rsidRPr="00657A2D">
        <w:rPr>
          <w:rFonts w:asciiTheme="minorHAnsi" w:hAnsiTheme="minorHAnsi" w:cstheme="minorHAnsi"/>
          <w:sz w:val="22"/>
          <w:szCs w:val="22"/>
        </w:rPr>
        <w:t xml:space="preserve"> dB(A) or 10dB(A) above ambient levels (whichever is more), when measured at the property boundary line shared with a residentially zoned property</w:t>
      </w:r>
      <w:r w:rsidR="00B84FEA" w:rsidRPr="00657A2D">
        <w:rPr>
          <w:rFonts w:asciiTheme="minorHAnsi" w:hAnsiTheme="minorHAnsi" w:cstheme="minorHAnsi"/>
          <w:sz w:val="22"/>
          <w:szCs w:val="22"/>
        </w:rPr>
        <w:t xml:space="preserve"> using a calibrated sound level meter</w:t>
      </w:r>
      <w:r w:rsidRPr="00657A2D">
        <w:rPr>
          <w:rFonts w:asciiTheme="minorHAnsi" w:hAnsiTheme="minorHAnsi" w:cstheme="minorHAnsi"/>
          <w:sz w:val="22"/>
          <w:szCs w:val="22"/>
        </w:rPr>
        <w:t>.</w:t>
      </w:r>
    </w:p>
    <w:p w14:paraId="72B7EFA3" w14:textId="1B3548A0" w:rsidR="0070790C" w:rsidRPr="00657A2D" w:rsidRDefault="002B6AC1" w:rsidP="00DA489D">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Daytime. Between 7:00 a.m. and 10:00 p.m., the data center shall not generate noise </w:t>
      </w:r>
      <w:proofErr w:type="gramStart"/>
      <w:r w:rsidRPr="00657A2D">
        <w:rPr>
          <w:rFonts w:asciiTheme="minorHAnsi" w:hAnsiTheme="minorHAnsi" w:cstheme="minorHAnsi"/>
          <w:sz w:val="22"/>
          <w:szCs w:val="22"/>
        </w:rPr>
        <w:t>in excess of</w:t>
      </w:r>
      <w:proofErr w:type="gramEnd"/>
      <w:r w:rsidRPr="00657A2D">
        <w:rPr>
          <w:rFonts w:asciiTheme="minorHAnsi" w:hAnsiTheme="minorHAnsi" w:cstheme="minorHAnsi"/>
          <w:sz w:val="22"/>
          <w:szCs w:val="22"/>
        </w:rPr>
        <w:t xml:space="preserve"> 65 dB(A) or 10dB(A) above ambient levels (whichever is more), when measured at the property boundary line shared with a residentially zoned property</w:t>
      </w:r>
      <w:r w:rsidR="00B84FEA" w:rsidRPr="00657A2D">
        <w:rPr>
          <w:rFonts w:asciiTheme="minorHAnsi" w:hAnsiTheme="minorHAnsi" w:cstheme="minorHAnsi"/>
          <w:sz w:val="22"/>
          <w:szCs w:val="22"/>
        </w:rPr>
        <w:t xml:space="preserve"> using a calibrated sound level meter</w:t>
      </w:r>
      <w:r w:rsidRPr="00657A2D">
        <w:rPr>
          <w:rFonts w:asciiTheme="minorHAnsi" w:hAnsiTheme="minorHAnsi" w:cstheme="minorHAnsi"/>
          <w:sz w:val="22"/>
          <w:szCs w:val="22"/>
        </w:rPr>
        <w:t>.</w:t>
      </w:r>
      <w:r w:rsidR="00DA489D" w:rsidRPr="00657A2D">
        <w:rPr>
          <w:rFonts w:asciiTheme="minorHAnsi" w:hAnsiTheme="minorHAnsi" w:cstheme="minorHAnsi"/>
          <w:sz w:val="22"/>
          <w:szCs w:val="22"/>
        </w:rPr>
        <w:t xml:space="preserve"> For data centers located within 500 feet of any allowed residential use or district, place of worship, daycare, park, lodging establishment (including bed and breakfast inn, campground and recreational vehicle park, hotel and motel, nightly rental, and timeshare unit), and educational facilities, the </w:t>
      </w:r>
      <w:r w:rsidR="00DA489D" w:rsidRPr="00657A2D">
        <w:rPr>
          <w:rFonts w:asciiTheme="minorHAnsi" w:hAnsiTheme="minorHAnsi" w:cstheme="minorHAnsi"/>
          <w:sz w:val="22"/>
          <w:szCs w:val="22"/>
          <w:highlight w:val="yellow"/>
        </w:rPr>
        <w:t>SPL</w:t>
      </w:r>
      <w:r w:rsidR="00DA489D" w:rsidRPr="00657A2D">
        <w:rPr>
          <w:rFonts w:asciiTheme="minorHAnsi" w:hAnsiTheme="minorHAnsi" w:cstheme="minorHAnsi"/>
          <w:sz w:val="22"/>
          <w:szCs w:val="22"/>
        </w:rPr>
        <w:t xml:space="preserve"> attributable to the facility shall not exceed </w:t>
      </w:r>
      <w:r w:rsidR="00DA489D" w:rsidRPr="00657A2D">
        <w:rPr>
          <w:rFonts w:asciiTheme="minorHAnsi" w:hAnsiTheme="minorHAnsi" w:cstheme="minorHAnsi"/>
          <w:sz w:val="22"/>
          <w:szCs w:val="22"/>
          <w:highlight w:val="yellow"/>
        </w:rPr>
        <w:t xml:space="preserve">fifty (50) </w:t>
      </w:r>
      <w:proofErr w:type="spellStart"/>
      <w:r w:rsidR="00DA489D" w:rsidRPr="00657A2D">
        <w:rPr>
          <w:rFonts w:asciiTheme="minorHAnsi" w:hAnsiTheme="minorHAnsi" w:cstheme="minorHAnsi"/>
          <w:sz w:val="22"/>
          <w:szCs w:val="22"/>
          <w:highlight w:val="yellow"/>
        </w:rPr>
        <w:t>dBC</w:t>
      </w:r>
      <w:proofErr w:type="spellEnd"/>
      <w:r w:rsidR="00DA489D" w:rsidRPr="00657A2D">
        <w:rPr>
          <w:rFonts w:asciiTheme="minorHAnsi" w:hAnsiTheme="minorHAnsi" w:cstheme="minorHAnsi"/>
          <w:sz w:val="22"/>
          <w:szCs w:val="22"/>
        </w:rPr>
        <w:t xml:space="preserve"> at all</w:t>
      </w:r>
      <w:r w:rsidR="00D97F8C" w:rsidRPr="00657A2D">
        <w:rPr>
          <w:rFonts w:asciiTheme="minorHAnsi" w:hAnsiTheme="minorHAnsi" w:cstheme="minorHAnsi"/>
          <w:sz w:val="22"/>
          <w:szCs w:val="22"/>
        </w:rPr>
        <w:t xml:space="preserve"> </w:t>
      </w:r>
      <w:r w:rsidR="00DA489D" w:rsidRPr="00657A2D">
        <w:rPr>
          <w:rFonts w:asciiTheme="minorHAnsi" w:hAnsiTheme="minorHAnsi" w:cstheme="minorHAnsi"/>
          <w:sz w:val="22"/>
          <w:szCs w:val="22"/>
        </w:rPr>
        <w:t>data center property line</w:t>
      </w:r>
      <w:r w:rsidR="00D97F8C" w:rsidRPr="00657A2D">
        <w:rPr>
          <w:rFonts w:asciiTheme="minorHAnsi" w:hAnsiTheme="minorHAnsi" w:cstheme="minorHAnsi"/>
          <w:sz w:val="22"/>
          <w:szCs w:val="22"/>
        </w:rPr>
        <w:t>.</w:t>
      </w:r>
    </w:p>
    <w:p w14:paraId="439FE132" w14:textId="77777777" w:rsidR="0070790C" w:rsidRPr="00657A2D" w:rsidRDefault="002B6AC1" w:rsidP="0070790C">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Testing of backup generators is limited to weekdays during the hours between 9:00 a.m. and 5:00 p.m. and limited to no more than three (3) days per week, two (2) hours per day.</w:t>
      </w:r>
    </w:p>
    <w:p w14:paraId="688CA30A" w14:textId="7F1AD665" w:rsidR="002B6AC1" w:rsidRPr="00657A2D" w:rsidRDefault="002B6AC1" w:rsidP="0070790C">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Use of backup generators that exceed the maximum sound levels is permitted during emergency power outages.</w:t>
      </w:r>
    </w:p>
    <w:p w14:paraId="63A251A6" w14:textId="460B7F65" w:rsidR="00834FDF" w:rsidRPr="00657A2D" w:rsidRDefault="00834FDF" w:rsidP="0070790C">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Quarterly noise </w:t>
      </w:r>
      <w:r w:rsidR="00106304" w:rsidRPr="00657A2D">
        <w:rPr>
          <w:rFonts w:asciiTheme="minorHAnsi" w:hAnsiTheme="minorHAnsi" w:cstheme="minorHAnsi"/>
          <w:sz w:val="22"/>
          <w:szCs w:val="22"/>
        </w:rPr>
        <w:t>monitoring</w:t>
      </w:r>
      <w:r w:rsidR="00DA7FD0" w:rsidRPr="00657A2D">
        <w:rPr>
          <w:rFonts w:asciiTheme="minorHAnsi" w:hAnsiTheme="minorHAnsi" w:cstheme="minorHAnsi"/>
          <w:sz w:val="22"/>
          <w:szCs w:val="22"/>
        </w:rPr>
        <w:t xml:space="preserve"> when measured at the property boundary line shared with a residentially zoned property using a calibrated sound level meter</w:t>
      </w:r>
      <w:r w:rsidR="00106304" w:rsidRPr="00657A2D">
        <w:rPr>
          <w:rFonts w:asciiTheme="minorHAnsi" w:hAnsiTheme="minorHAnsi" w:cstheme="minorHAnsi"/>
          <w:sz w:val="22"/>
          <w:szCs w:val="22"/>
        </w:rPr>
        <w:t xml:space="preserve"> </w:t>
      </w:r>
      <w:r w:rsidRPr="00657A2D">
        <w:rPr>
          <w:rFonts w:asciiTheme="minorHAnsi" w:hAnsiTheme="minorHAnsi" w:cstheme="minorHAnsi"/>
          <w:sz w:val="22"/>
          <w:szCs w:val="22"/>
        </w:rPr>
        <w:t>must be submitted by a licensed sound engineer hired by [Government Name] at the expense of the operator</w:t>
      </w:r>
      <w:r w:rsidR="00DA7FD0" w:rsidRPr="00657A2D">
        <w:rPr>
          <w:rFonts w:asciiTheme="minorHAnsi" w:hAnsiTheme="minorHAnsi" w:cstheme="minorHAnsi"/>
          <w:sz w:val="22"/>
          <w:szCs w:val="22"/>
        </w:rPr>
        <w:t>.</w:t>
      </w:r>
    </w:p>
    <w:p w14:paraId="00B02E57" w14:textId="374837AC" w:rsidR="00544E13" w:rsidRPr="00657A2D" w:rsidRDefault="00EC5F89" w:rsidP="00BA39E9">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Screening: Any portion of the </w:t>
      </w:r>
      <w:r w:rsidR="0007061B" w:rsidRPr="00657A2D">
        <w:rPr>
          <w:rFonts w:asciiTheme="minorHAnsi" w:hAnsiTheme="minorHAnsi" w:cstheme="minorHAnsi"/>
          <w:sz w:val="22"/>
          <w:szCs w:val="22"/>
        </w:rPr>
        <w:t xml:space="preserve">data center campus or </w:t>
      </w:r>
      <w:r w:rsidRPr="00657A2D">
        <w:rPr>
          <w:rFonts w:asciiTheme="minorHAnsi" w:hAnsiTheme="minorHAnsi" w:cstheme="minorHAnsi"/>
          <w:sz w:val="22"/>
          <w:szCs w:val="22"/>
        </w:rPr>
        <w:t xml:space="preserve">facility that abuts residential uses and/or public rights-of-way shall be buffered by one or a combination of the following: </w:t>
      </w:r>
    </w:p>
    <w:p w14:paraId="0D625AE2" w14:textId="77777777" w:rsidR="00544E13" w:rsidRPr="00657A2D" w:rsidRDefault="00EC5F89" w:rsidP="0047173D">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lastRenderedPageBreak/>
        <w:t xml:space="preserve">Absent mature vegetation, a double row of evergreen shrubs and/or trees installed in staggered rows at a height of no less than 15 feet and achieving opaqueness and a minimum height of 20 feet in five years. </w:t>
      </w:r>
    </w:p>
    <w:p w14:paraId="0A04FDD5" w14:textId="77777777" w:rsidR="00544E13" w:rsidRPr="00657A2D" w:rsidRDefault="00EC5F89" w:rsidP="0047173D">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On-site mature vegetation existing at a minimum height of 15 feet and a depth of 100 feet between the footprint of the solar energy facility and adjacent properties or rights-of-way, unless otherwise conditioned by the board. </w:t>
      </w:r>
    </w:p>
    <w:p w14:paraId="404FE98B" w14:textId="77777777" w:rsidR="00544E13" w:rsidRPr="00657A2D" w:rsidRDefault="00EC5F89" w:rsidP="0047173D">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In combination with existing vegetation, a single row of evergreens installed at a height of no less than 15 feet and achieving opaqueness and a minimum height of 20 feet in five years. </w:t>
      </w:r>
    </w:p>
    <w:p w14:paraId="11D45A12" w14:textId="77777777" w:rsidR="00544E13" w:rsidRPr="00657A2D" w:rsidRDefault="00EC5F89" w:rsidP="0047173D">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All planted buffers shall be comprised of a minimum of three genera of approved plant material. If three genera of plant material are to be utilized within the buffer, then no genus shall comprise more than 33 percent of the total number of plants within the buffer. </w:t>
      </w:r>
    </w:p>
    <w:p w14:paraId="628D292B" w14:textId="0EEEB61F" w:rsidR="00544E13" w:rsidRPr="00657A2D" w:rsidRDefault="00EC5F89" w:rsidP="0047173D">
      <w:pPr>
        <w:pStyle w:val="ListParagraph"/>
        <w:numPr>
          <w:ilvl w:val="1"/>
          <w:numId w:val="25"/>
        </w:numPr>
        <w:rPr>
          <w:rFonts w:asciiTheme="minorHAnsi" w:hAnsiTheme="minorHAnsi" w:cstheme="minorHAnsi"/>
          <w:sz w:val="22"/>
          <w:szCs w:val="22"/>
        </w:rPr>
      </w:pPr>
      <w:r w:rsidRPr="00657A2D">
        <w:rPr>
          <w:rFonts w:asciiTheme="minorHAnsi" w:hAnsiTheme="minorHAnsi" w:cstheme="minorHAnsi"/>
          <w:sz w:val="22"/>
          <w:szCs w:val="22"/>
        </w:rPr>
        <w:t xml:space="preserve">When the above requirements </w:t>
      </w:r>
      <w:proofErr w:type="gramStart"/>
      <w:r w:rsidRPr="00657A2D">
        <w:rPr>
          <w:rFonts w:asciiTheme="minorHAnsi" w:hAnsiTheme="minorHAnsi" w:cstheme="minorHAnsi"/>
          <w:sz w:val="22"/>
          <w:szCs w:val="22"/>
        </w:rPr>
        <w:t>are in conflict with</w:t>
      </w:r>
      <w:proofErr w:type="gramEnd"/>
      <w:r w:rsidRPr="00657A2D">
        <w:rPr>
          <w:rFonts w:asciiTheme="minorHAnsi" w:hAnsiTheme="minorHAnsi" w:cstheme="minorHAnsi"/>
          <w:sz w:val="22"/>
          <w:szCs w:val="22"/>
        </w:rPr>
        <w:t xml:space="preserve"> the buffer requirements for incompatible uses contained within </w:t>
      </w:r>
      <w:r w:rsidR="00D9097F" w:rsidRPr="00657A2D">
        <w:rPr>
          <w:rFonts w:asciiTheme="minorHAnsi" w:hAnsiTheme="minorHAnsi" w:cstheme="minorHAnsi"/>
          <w:sz w:val="22"/>
          <w:szCs w:val="22"/>
        </w:rPr>
        <w:t>[</w:t>
      </w:r>
      <w:r w:rsidRPr="00657A2D">
        <w:rPr>
          <w:rFonts w:asciiTheme="minorHAnsi" w:hAnsiTheme="minorHAnsi" w:cstheme="minorHAnsi"/>
          <w:sz w:val="22"/>
          <w:szCs w:val="22"/>
        </w:rPr>
        <w:t xml:space="preserve">article </w:t>
      </w:r>
      <w:r w:rsidR="0047173D" w:rsidRPr="00657A2D">
        <w:rPr>
          <w:rFonts w:asciiTheme="minorHAnsi" w:hAnsiTheme="minorHAnsi" w:cstheme="minorHAnsi"/>
          <w:sz w:val="22"/>
          <w:szCs w:val="22"/>
        </w:rPr>
        <w:t>XX</w:t>
      </w:r>
      <w:r w:rsidR="00D9097F" w:rsidRPr="00657A2D">
        <w:rPr>
          <w:rFonts w:asciiTheme="minorHAnsi" w:hAnsiTheme="minorHAnsi" w:cstheme="minorHAnsi"/>
          <w:sz w:val="22"/>
          <w:szCs w:val="22"/>
        </w:rPr>
        <w:t>]</w:t>
      </w:r>
      <w:r w:rsidRPr="00657A2D">
        <w:rPr>
          <w:rFonts w:asciiTheme="minorHAnsi" w:hAnsiTheme="minorHAnsi" w:cstheme="minorHAnsi"/>
          <w:sz w:val="22"/>
          <w:szCs w:val="22"/>
        </w:rPr>
        <w:t xml:space="preserve">, then the stricter requirement(s) shall apply. </w:t>
      </w:r>
    </w:p>
    <w:p w14:paraId="71AA46DC" w14:textId="548EDA1C" w:rsidR="00544E13" w:rsidRPr="00657A2D" w:rsidRDefault="00EC5F89" w:rsidP="00BA39E9">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Airport Hazard District: </w:t>
      </w:r>
      <w:r w:rsidR="00D6244C" w:rsidRPr="00657A2D">
        <w:rPr>
          <w:rFonts w:asciiTheme="minorHAnsi" w:hAnsiTheme="minorHAnsi" w:cstheme="minorHAnsi"/>
          <w:sz w:val="22"/>
          <w:szCs w:val="22"/>
        </w:rPr>
        <w:t xml:space="preserve">Data center facilities </w:t>
      </w:r>
      <w:r w:rsidRPr="00657A2D">
        <w:rPr>
          <w:rFonts w:asciiTheme="minorHAnsi" w:hAnsiTheme="minorHAnsi" w:cstheme="minorHAnsi"/>
          <w:sz w:val="22"/>
          <w:szCs w:val="22"/>
        </w:rPr>
        <w:t xml:space="preserve">proposed within a </w:t>
      </w:r>
      <w:r w:rsidR="00875F66" w:rsidRPr="00657A2D">
        <w:rPr>
          <w:rFonts w:asciiTheme="minorHAnsi" w:hAnsiTheme="minorHAnsi" w:cstheme="minorHAnsi"/>
          <w:sz w:val="22"/>
          <w:szCs w:val="22"/>
        </w:rPr>
        <w:t>two-mile</w:t>
      </w:r>
      <w:r w:rsidRPr="00657A2D">
        <w:rPr>
          <w:rFonts w:asciiTheme="minorHAnsi" w:hAnsiTheme="minorHAnsi" w:cstheme="minorHAnsi"/>
          <w:sz w:val="22"/>
          <w:szCs w:val="22"/>
        </w:rPr>
        <w:t xml:space="preserve"> radius of any airport shall present evidence they have gone through a review process with the Federal Aviation Administration (FAA). This review from the FAA shall indicate that the proposed facility shall not interfere with normal operation of aircraft in the area. </w:t>
      </w:r>
    </w:p>
    <w:p w14:paraId="36817696" w14:textId="2F17BF53" w:rsidR="00544E13" w:rsidRPr="00657A2D" w:rsidRDefault="00E92BAE" w:rsidP="00EC6FD3">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Site lighting: </w:t>
      </w:r>
      <w:r w:rsidR="00EC5F89" w:rsidRPr="00657A2D">
        <w:rPr>
          <w:rFonts w:asciiTheme="minorHAnsi" w:hAnsiTheme="minorHAnsi" w:cstheme="minorHAnsi"/>
          <w:sz w:val="22"/>
          <w:szCs w:val="22"/>
        </w:rPr>
        <w:t xml:space="preserve">All lighting shall be activated by motion sensors, be fully shielded, and be designed </w:t>
      </w:r>
      <w:r w:rsidR="00EC6FD3" w:rsidRPr="00657A2D">
        <w:rPr>
          <w:rFonts w:asciiTheme="minorHAnsi" w:hAnsiTheme="minorHAnsi" w:cstheme="minorHAnsi"/>
          <w:sz w:val="22"/>
          <w:szCs w:val="22"/>
        </w:rPr>
        <w:t>to maintain the existing night sky darkness and to prevent light trespass onto adjacent properties and streets.</w:t>
      </w:r>
      <w:r w:rsidR="00EC5F89" w:rsidRPr="00657A2D">
        <w:rPr>
          <w:rFonts w:asciiTheme="minorHAnsi" w:hAnsiTheme="minorHAnsi" w:cstheme="minorHAnsi"/>
          <w:sz w:val="22"/>
          <w:szCs w:val="22"/>
        </w:rPr>
        <w:t xml:space="preserve"> </w:t>
      </w:r>
    </w:p>
    <w:p w14:paraId="74658D98" w14:textId="0864B518" w:rsidR="00174344" w:rsidRPr="00657A2D" w:rsidRDefault="00174344" w:rsidP="00174344">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Substations. Substations are considered </w:t>
      </w:r>
      <w:proofErr w:type="gramStart"/>
      <w:r w:rsidRPr="00657A2D">
        <w:rPr>
          <w:rFonts w:asciiTheme="minorHAnsi" w:hAnsiTheme="minorHAnsi" w:cstheme="minorHAnsi"/>
          <w:sz w:val="22"/>
          <w:szCs w:val="22"/>
        </w:rPr>
        <w:t>accessory uses</w:t>
      </w:r>
      <w:proofErr w:type="gramEnd"/>
      <w:r w:rsidRPr="00657A2D">
        <w:rPr>
          <w:rFonts w:asciiTheme="minorHAnsi" w:hAnsiTheme="minorHAnsi" w:cstheme="minorHAnsi"/>
          <w:sz w:val="22"/>
          <w:szCs w:val="22"/>
        </w:rPr>
        <w:t xml:space="preserve"> to data centers and shall not be located within 300 feet of an adjacent public road or residentially zoned property.</w:t>
      </w:r>
    </w:p>
    <w:p w14:paraId="0245FAD9" w14:textId="5426ED2C" w:rsidR="00544E13" w:rsidRPr="00657A2D" w:rsidRDefault="00EC5F89" w:rsidP="00BA39E9">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 xml:space="preserve">Maintenance and upkeep: The operator of the </w:t>
      </w:r>
      <w:r w:rsidR="004D3E54" w:rsidRPr="00657A2D">
        <w:rPr>
          <w:rFonts w:asciiTheme="minorHAnsi" w:hAnsiTheme="minorHAnsi" w:cstheme="minorHAnsi"/>
          <w:sz w:val="22"/>
          <w:szCs w:val="22"/>
        </w:rPr>
        <w:t xml:space="preserve">data center </w:t>
      </w:r>
      <w:r w:rsidRPr="00657A2D">
        <w:rPr>
          <w:rFonts w:asciiTheme="minorHAnsi" w:hAnsiTheme="minorHAnsi" w:cstheme="minorHAnsi"/>
          <w:sz w:val="22"/>
          <w:szCs w:val="22"/>
        </w:rPr>
        <w:t xml:space="preserve">facility shall maintain the facility, including all buffer screening, in compliance with the approved plans and shall keep the facility free from weeds, dust, trash, and debris. </w:t>
      </w:r>
    </w:p>
    <w:p w14:paraId="00D34685" w14:textId="77777777" w:rsidR="00E20393" w:rsidRPr="00657A2D" w:rsidRDefault="00EC5F89" w:rsidP="00BA39E9">
      <w:pPr>
        <w:pStyle w:val="ListParagraph"/>
        <w:numPr>
          <w:ilvl w:val="0"/>
          <w:numId w:val="25"/>
        </w:numPr>
        <w:rPr>
          <w:rFonts w:asciiTheme="minorHAnsi" w:hAnsiTheme="minorHAnsi" w:cstheme="minorHAnsi"/>
          <w:sz w:val="22"/>
          <w:szCs w:val="22"/>
        </w:rPr>
      </w:pPr>
      <w:r w:rsidRPr="00657A2D">
        <w:rPr>
          <w:rFonts w:asciiTheme="minorHAnsi" w:hAnsiTheme="minorHAnsi" w:cstheme="minorHAnsi"/>
          <w:sz w:val="22"/>
          <w:szCs w:val="22"/>
        </w:rPr>
        <w:t>Removal of obsolete or unused structures and/or equipment: Obsolete or unused facility structures and/or equipment shall be removed from the subject property and disposed of properly.</w:t>
      </w:r>
    </w:p>
    <w:p w14:paraId="56EEE1DD" w14:textId="344F132E" w:rsidR="003F25AD" w:rsidRPr="00657A2D" w:rsidRDefault="002E0085" w:rsidP="002E0085">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XX. Annual </w:t>
      </w:r>
      <w:r w:rsidR="003F25AD" w:rsidRPr="00657A2D">
        <w:rPr>
          <w:rFonts w:asciiTheme="minorHAnsi" w:hAnsiTheme="minorHAnsi" w:cstheme="minorHAnsi"/>
          <w:b/>
          <w:bCs/>
          <w:sz w:val="22"/>
          <w:szCs w:val="22"/>
        </w:rPr>
        <w:t>Repo</w:t>
      </w:r>
      <w:r w:rsidR="00C15D5E" w:rsidRPr="00657A2D">
        <w:rPr>
          <w:rFonts w:asciiTheme="minorHAnsi" w:hAnsiTheme="minorHAnsi" w:cstheme="minorHAnsi"/>
          <w:b/>
          <w:bCs/>
          <w:sz w:val="22"/>
          <w:szCs w:val="22"/>
        </w:rPr>
        <w:t>r</w:t>
      </w:r>
      <w:r w:rsidR="003F25AD" w:rsidRPr="00657A2D">
        <w:rPr>
          <w:rFonts w:asciiTheme="minorHAnsi" w:hAnsiTheme="minorHAnsi" w:cstheme="minorHAnsi"/>
          <w:b/>
          <w:bCs/>
          <w:sz w:val="22"/>
          <w:szCs w:val="22"/>
        </w:rPr>
        <w:t>ting</w:t>
      </w:r>
    </w:p>
    <w:p w14:paraId="6BAA8A46" w14:textId="018600DE" w:rsidR="00BF11C0" w:rsidRPr="00657A2D" w:rsidRDefault="00BF11C0" w:rsidP="00BF11C0">
      <w:pPr>
        <w:rPr>
          <w:rFonts w:asciiTheme="minorHAnsi" w:hAnsiTheme="minorHAnsi" w:cstheme="minorHAnsi"/>
          <w:sz w:val="22"/>
          <w:szCs w:val="22"/>
        </w:rPr>
      </w:pPr>
      <w:r w:rsidRPr="00657A2D">
        <w:rPr>
          <w:rFonts w:asciiTheme="minorHAnsi" w:hAnsiTheme="minorHAnsi" w:cstheme="minorHAnsi"/>
          <w:sz w:val="22"/>
          <w:szCs w:val="22"/>
        </w:rPr>
        <w:t xml:space="preserve">Data center owners and/or operators shall submit </w:t>
      </w:r>
      <w:r w:rsidR="00B82E8C" w:rsidRPr="00657A2D">
        <w:rPr>
          <w:rFonts w:asciiTheme="minorHAnsi" w:hAnsiTheme="minorHAnsi" w:cstheme="minorHAnsi"/>
          <w:sz w:val="22"/>
          <w:szCs w:val="22"/>
        </w:rPr>
        <w:t>to [city/county</w:t>
      </w:r>
      <w:r w:rsidR="00203E93" w:rsidRPr="00657A2D">
        <w:rPr>
          <w:rFonts w:asciiTheme="minorHAnsi" w:hAnsiTheme="minorHAnsi" w:cstheme="minorHAnsi"/>
          <w:sz w:val="22"/>
          <w:szCs w:val="22"/>
        </w:rPr>
        <w:t xml:space="preserve"> </w:t>
      </w:r>
      <w:r w:rsidR="00B82E8C" w:rsidRPr="00657A2D">
        <w:rPr>
          <w:rFonts w:asciiTheme="minorHAnsi" w:hAnsiTheme="minorHAnsi" w:cstheme="minorHAnsi"/>
          <w:sz w:val="22"/>
          <w:szCs w:val="22"/>
        </w:rPr>
        <w:t xml:space="preserve">department] </w:t>
      </w:r>
      <w:r w:rsidR="00203E93" w:rsidRPr="00657A2D">
        <w:rPr>
          <w:rFonts w:asciiTheme="minorHAnsi" w:hAnsiTheme="minorHAnsi" w:cstheme="minorHAnsi"/>
          <w:sz w:val="22"/>
          <w:szCs w:val="22"/>
        </w:rPr>
        <w:t xml:space="preserve">Director </w:t>
      </w:r>
      <w:r w:rsidR="00406CFE" w:rsidRPr="00657A2D">
        <w:rPr>
          <w:rFonts w:asciiTheme="minorHAnsi" w:hAnsiTheme="minorHAnsi" w:cstheme="minorHAnsi"/>
          <w:sz w:val="22"/>
          <w:szCs w:val="22"/>
        </w:rPr>
        <w:t xml:space="preserve">an </w:t>
      </w:r>
      <w:r w:rsidRPr="00657A2D">
        <w:rPr>
          <w:rFonts w:asciiTheme="minorHAnsi" w:hAnsiTheme="minorHAnsi" w:cstheme="minorHAnsi"/>
          <w:sz w:val="22"/>
          <w:szCs w:val="22"/>
        </w:rPr>
        <w:t xml:space="preserve">annual report </w:t>
      </w:r>
      <w:r w:rsidR="00406CFE" w:rsidRPr="00657A2D">
        <w:rPr>
          <w:rFonts w:asciiTheme="minorHAnsi" w:hAnsiTheme="minorHAnsi" w:cstheme="minorHAnsi"/>
          <w:sz w:val="22"/>
          <w:szCs w:val="22"/>
        </w:rPr>
        <w:t>by December 31</w:t>
      </w:r>
      <w:r w:rsidR="006373EC" w:rsidRPr="00657A2D">
        <w:rPr>
          <w:rFonts w:asciiTheme="minorHAnsi" w:hAnsiTheme="minorHAnsi" w:cstheme="minorHAnsi"/>
          <w:sz w:val="22"/>
          <w:szCs w:val="22"/>
        </w:rPr>
        <w:t>, 20</w:t>
      </w:r>
      <w:r w:rsidR="00B82E8C" w:rsidRPr="00657A2D">
        <w:rPr>
          <w:rFonts w:asciiTheme="minorHAnsi" w:hAnsiTheme="minorHAnsi" w:cstheme="minorHAnsi"/>
          <w:sz w:val="22"/>
          <w:szCs w:val="22"/>
        </w:rPr>
        <w:t>XX</w:t>
      </w:r>
      <w:r w:rsidR="006373EC" w:rsidRPr="00657A2D">
        <w:rPr>
          <w:rFonts w:asciiTheme="minorHAnsi" w:hAnsiTheme="minorHAnsi" w:cstheme="minorHAnsi"/>
          <w:sz w:val="22"/>
          <w:szCs w:val="22"/>
        </w:rPr>
        <w:t xml:space="preserve">, and annually by December 31 thereafter, </w:t>
      </w:r>
      <w:r w:rsidR="00FF202D" w:rsidRPr="00657A2D">
        <w:rPr>
          <w:rFonts w:asciiTheme="minorHAnsi" w:hAnsiTheme="minorHAnsi" w:cstheme="minorHAnsi"/>
          <w:sz w:val="22"/>
          <w:szCs w:val="22"/>
        </w:rPr>
        <w:t>including</w:t>
      </w:r>
      <w:r w:rsidRPr="00657A2D">
        <w:rPr>
          <w:rFonts w:asciiTheme="minorHAnsi" w:hAnsiTheme="minorHAnsi" w:cstheme="minorHAnsi"/>
          <w:sz w:val="22"/>
          <w:szCs w:val="22"/>
        </w:rPr>
        <w:t>:</w:t>
      </w:r>
    </w:p>
    <w:p w14:paraId="1E7C1188" w14:textId="77777777" w:rsidR="00C420E6" w:rsidRPr="00657A2D" w:rsidRDefault="00C420E6" w:rsidP="00FF202D">
      <w:pPr>
        <w:pStyle w:val="ListParagraph"/>
        <w:numPr>
          <w:ilvl w:val="0"/>
          <w:numId w:val="32"/>
        </w:numPr>
        <w:rPr>
          <w:rFonts w:asciiTheme="minorHAnsi" w:hAnsiTheme="minorHAnsi" w:cstheme="minorHAnsi"/>
          <w:sz w:val="22"/>
          <w:szCs w:val="22"/>
        </w:rPr>
      </w:pPr>
      <w:r w:rsidRPr="00657A2D">
        <w:rPr>
          <w:rFonts w:asciiTheme="minorHAnsi" w:hAnsiTheme="minorHAnsi" w:cstheme="minorHAnsi"/>
          <w:sz w:val="22"/>
          <w:szCs w:val="22"/>
        </w:rPr>
        <w:t>General information about the facility</w:t>
      </w:r>
    </w:p>
    <w:p w14:paraId="58FB5808" w14:textId="77777777" w:rsidR="00C420E6" w:rsidRPr="00657A2D" w:rsidRDefault="00FF202D" w:rsidP="00C420E6">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name and address of the </w:t>
      </w:r>
      <w:proofErr w:type="gramStart"/>
      <w:r w:rsidRPr="00657A2D">
        <w:rPr>
          <w:rFonts w:asciiTheme="minorHAnsi" w:hAnsiTheme="minorHAnsi" w:cstheme="minorHAnsi"/>
          <w:sz w:val="22"/>
          <w:szCs w:val="22"/>
        </w:rPr>
        <w:t>facility</w:t>
      </w:r>
      <w:r w:rsidR="00C420E6" w:rsidRPr="00657A2D">
        <w:rPr>
          <w:rFonts w:asciiTheme="minorHAnsi" w:hAnsiTheme="minorHAnsi" w:cstheme="minorHAnsi"/>
          <w:sz w:val="22"/>
          <w:szCs w:val="22"/>
        </w:rPr>
        <w:t>;</w:t>
      </w:r>
      <w:proofErr w:type="gramEnd"/>
      <w:r w:rsidR="00C420E6" w:rsidRPr="00657A2D">
        <w:rPr>
          <w:rFonts w:asciiTheme="minorHAnsi" w:hAnsiTheme="minorHAnsi" w:cstheme="minorHAnsi"/>
          <w:sz w:val="22"/>
          <w:szCs w:val="22"/>
        </w:rPr>
        <w:t xml:space="preserve"> </w:t>
      </w:r>
    </w:p>
    <w:p w14:paraId="74CE808C" w14:textId="77777777" w:rsidR="00C420E6" w:rsidRPr="00657A2D" w:rsidRDefault="00FF202D" w:rsidP="00C420E6">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owner or operator of the </w:t>
      </w:r>
      <w:proofErr w:type="gramStart"/>
      <w:r w:rsidRPr="00657A2D">
        <w:rPr>
          <w:rFonts w:asciiTheme="minorHAnsi" w:hAnsiTheme="minorHAnsi" w:cstheme="minorHAnsi"/>
          <w:sz w:val="22"/>
          <w:szCs w:val="22"/>
        </w:rPr>
        <w:t>facility</w:t>
      </w:r>
      <w:r w:rsidR="00C420E6" w:rsidRPr="00657A2D">
        <w:rPr>
          <w:rFonts w:asciiTheme="minorHAnsi" w:hAnsiTheme="minorHAnsi" w:cstheme="minorHAnsi"/>
          <w:sz w:val="22"/>
          <w:szCs w:val="22"/>
        </w:rPr>
        <w:t>;</w:t>
      </w:r>
      <w:proofErr w:type="gramEnd"/>
    </w:p>
    <w:p w14:paraId="26883CF1" w14:textId="28245669" w:rsidR="00FF202D" w:rsidRPr="00657A2D" w:rsidRDefault="00FF202D" w:rsidP="00C420E6">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A description of the nature and purpose of the </w:t>
      </w:r>
      <w:proofErr w:type="gramStart"/>
      <w:r w:rsidRPr="00657A2D">
        <w:rPr>
          <w:rFonts w:asciiTheme="minorHAnsi" w:hAnsiTheme="minorHAnsi" w:cstheme="minorHAnsi"/>
          <w:sz w:val="22"/>
          <w:szCs w:val="22"/>
        </w:rPr>
        <w:t>facility</w:t>
      </w:r>
      <w:r w:rsidR="00C420E6" w:rsidRPr="00657A2D">
        <w:rPr>
          <w:rFonts w:asciiTheme="minorHAnsi" w:hAnsiTheme="minorHAnsi" w:cstheme="minorHAnsi"/>
          <w:sz w:val="22"/>
          <w:szCs w:val="22"/>
        </w:rPr>
        <w:t>;</w:t>
      </w:r>
      <w:proofErr w:type="gramEnd"/>
    </w:p>
    <w:p w14:paraId="3250A77C" w14:textId="0923078D" w:rsidR="00FF202D" w:rsidRPr="00657A2D" w:rsidRDefault="00FF202D" w:rsidP="00C420E6">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The total square footage of the facilit</w:t>
      </w:r>
      <w:r w:rsidR="00C420E6" w:rsidRPr="00657A2D">
        <w:rPr>
          <w:rFonts w:asciiTheme="minorHAnsi" w:hAnsiTheme="minorHAnsi" w:cstheme="minorHAnsi"/>
          <w:sz w:val="22"/>
          <w:szCs w:val="22"/>
        </w:rPr>
        <w:t>y;</w:t>
      </w:r>
      <w:r w:rsidR="000021DC" w:rsidRPr="00657A2D">
        <w:rPr>
          <w:rFonts w:asciiTheme="minorHAnsi" w:hAnsiTheme="minorHAnsi" w:cstheme="minorHAnsi"/>
          <w:sz w:val="22"/>
          <w:szCs w:val="22"/>
        </w:rPr>
        <w:t xml:space="preserve"> and </w:t>
      </w:r>
    </w:p>
    <w:p w14:paraId="7257CE61" w14:textId="77777777" w:rsidR="000021DC" w:rsidRPr="00657A2D" w:rsidRDefault="00FF202D" w:rsidP="000021DC">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Any publicly announced plans for expansion of the facility</w:t>
      </w:r>
      <w:r w:rsidR="000021DC" w:rsidRPr="00657A2D">
        <w:rPr>
          <w:rFonts w:asciiTheme="minorHAnsi" w:hAnsiTheme="minorHAnsi" w:cstheme="minorHAnsi"/>
          <w:sz w:val="22"/>
          <w:szCs w:val="22"/>
        </w:rPr>
        <w:t>.</w:t>
      </w:r>
    </w:p>
    <w:p w14:paraId="6AFD2A16" w14:textId="77777777" w:rsidR="000021DC" w:rsidRPr="00657A2D" w:rsidRDefault="00FF202D" w:rsidP="000021DC">
      <w:pPr>
        <w:pStyle w:val="ListParagraph"/>
        <w:numPr>
          <w:ilvl w:val="0"/>
          <w:numId w:val="32"/>
        </w:numPr>
        <w:rPr>
          <w:rFonts w:asciiTheme="minorHAnsi" w:hAnsiTheme="minorHAnsi" w:cstheme="minorHAnsi"/>
          <w:sz w:val="22"/>
          <w:szCs w:val="22"/>
        </w:rPr>
      </w:pPr>
      <w:r w:rsidRPr="00657A2D">
        <w:rPr>
          <w:rFonts w:asciiTheme="minorHAnsi" w:hAnsiTheme="minorHAnsi" w:cstheme="minorHAnsi"/>
          <w:sz w:val="22"/>
          <w:szCs w:val="22"/>
        </w:rPr>
        <w:lastRenderedPageBreak/>
        <w:t xml:space="preserve">Information related to energy usage by the high resource use facility, including:  </w:t>
      </w:r>
    </w:p>
    <w:p w14:paraId="0FF8C3CF" w14:textId="3A984779" w:rsidR="000021DC" w:rsidRPr="00657A2D" w:rsidRDefault="000021DC" w:rsidP="000021DC">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T</w:t>
      </w:r>
      <w:r w:rsidR="00FF202D" w:rsidRPr="00657A2D">
        <w:rPr>
          <w:rFonts w:asciiTheme="minorHAnsi" w:hAnsiTheme="minorHAnsi" w:cstheme="minorHAnsi"/>
          <w:sz w:val="22"/>
          <w:szCs w:val="22"/>
        </w:rPr>
        <w:t xml:space="preserve">he mean amount of energy used per day measured in </w:t>
      </w:r>
      <w:proofErr w:type="gramStart"/>
      <w:r w:rsidR="00D44DE1" w:rsidRPr="00657A2D">
        <w:rPr>
          <w:rFonts w:asciiTheme="minorHAnsi" w:hAnsiTheme="minorHAnsi" w:cstheme="minorHAnsi"/>
          <w:sz w:val="22"/>
          <w:szCs w:val="22"/>
        </w:rPr>
        <w:t>kilowatt-hours;</w:t>
      </w:r>
      <w:proofErr w:type="gramEnd"/>
    </w:p>
    <w:p w14:paraId="185479C2" w14:textId="790C0A95" w:rsidR="0063596A" w:rsidRPr="00657A2D" w:rsidRDefault="00FF202D" w:rsidP="00F26DE2">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mean amount of energy used from all sources per hour during peak </w:t>
      </w:r>
      <w:r w:rsidR="00D44DE1" w:rsidRPr="00657A2D">
        <w:rPr>
          <w:rFonts w:asciiTheme="minorHAnsi" w:hAnsiTheme="minorHAnsi" w:cstheme="minorHAnsi"/>
          <w:sz w:val="22"/>
          <w:szCs w:val="22"/>
        </w:rPr>
        <w:t>load measured</w:t>
      </w:r>
      <w:r w:rsidRPr="00657A2D">
        <w:rPr>
          <w:rFonts w:asciiTheme="minorHAnsi" w:hAnsiTheme="minorHAnsi" w:cstheme="minorHAnsi"/>
          <w:sz w:val="22"/>
          <w:szCs w:val="22"/>
        </w:rPr>
        <w:t xml:space="preserve"> in kilowatt-hours and frequency of peak load per week</w:t>
      </w:r>
    </w:p>
    <w:p w14:paraId="69796611" w14:textId="5A534800" w:rsidR="0063596A" w:rsidRPr="00657A2D" w:rsidRDefault="0063596A" w:rsidP="00F26DE2">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overall percentages of energy used, calculated prior to considering any </w:t>
      </w:r>
      <w:r w:rsidR="00D44DE1" w:rsidRPr="00657A2D">
        <w:rPr>
          <w:rFonts w:asciiTheme="minorHAnsi" w:hAnsiTheme="minorHAnsi" w:cstheme="minorHAnsi"/>
          <w:sz w:val="22"/>
          <w:szCs w:val="22"/>
        </w:rPr>
        <w:t>carbon offsets</w:t>
      </w:r>
      <w:r w:rsidRPr="00657A2D">
        <w:rPr>
          <w:rFonts w:asciiTheme="minorHAnsi" w:hAnsiTheme="minorHAnsi" w:cstheme="minorHAnsi"/>
          <w:sz w:val="22"/>
          <w:szCs w:val="22"/>
        </w:rPr>
        <w:t xml:space="preserve">, that are generated from fossil fuel, renewable energy, and other energy </w:t>
      </w:r>
      <w:proofErr w:type="gramStart"/>
      <w:r w:rsidRPr="00657A2D">
        <w:rPr>
          <w:rFonts w:asciiTheme="minorHAnsi" w:hAnsiTheme="minorHAnsi" w:cstheme="minorHAnsi"/>
          <w:sz w:val="22"/>
          <w:szCs w:val="22"/>
        </w:rPr>
        <w:t>sources;</w:t>
      </w:r>
      <w:proofErr w:type="gramEnd"/>
      <w:r w:rsidRPr="00657A2D">
        <w:rPr>
          <w:rFonts w:asciiTheme="minorHAnsi" w:hAnsiTheme="minorHAnsi" w:cstheme="minorHAnsi"/>
          <w:sz w:val="22"/>
          <w:szCs w:val="22"/>
        </w:rPr>
        <w:t xml:space="preserve">  </w:t>
      </w:r>
    </w:p>
    <w:p w14:paraId="4723131E" w14:textId="77777777" w:rsidR="0063596A" w:rsidRPr="00657A2D" w:rsidRDefault="0063596A" w:rsidP="00F26DE2">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sources and providers of each type of energy </w:t>
      </w:r>
      <w:proofErr w:type="gramStart"/>
      <w:r w:rsidRPr="00657A2D">
        <w:rPr>
          <w:rFonts w:asciiTheme="minorHAnsi" w:hAnsiTheme="minorHAnsi" w:cstheme="minorHAnsi"/>
          <w:sz w:val="22"/>
          <w:szCs w:val="22"/>
        </w:rPr>
        <w:t>used;</w:t>
      </w:r>
      <w:proofErr w:type="gramEnd"/>
      <w:r w:rsidRPr="00657A2D">
        <w:rPr>
          <w:rFonts w:asciiTheme="minorHAnsi" w:hAnsiTheme="minorHAnsi" w:cstheme="minorHAnsi"/>
          <w:sz w:val="22"/>
          <w:szCs w:val="22"/>
        </w:rPr>
        <w:t xml:space="preserve">  </w:t>
      </w:r>
    </w:p>
    <w:p w14:paraId="5EE98358" w14:textId="77777777" w:rsidR="0063596A" w:rsidRPr="00657A2D" w:rsidRDefault="0063596A" w:rsidP="00F26DE2">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Any service contract with an electric supplier; and  </w:t>
      </w:r>
    </w:p>
    <w:p w14:paraId="2EBECFE9" w14:textId="5EB50F66" w:rsidR="00D04321" w:rsidRPr="00657A2D" w:rsidRDefault="0063596A" w:rsidP="00F26DE2">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annual amount of waste heat produced on-site measured in British </w:t>
      </w:r>
      <w:r w:rsidR="00D44DE1" w:rsidRPr="00657A2D">
        <w:rPr>
          <w:rFonts w:asciiTheme="minorHAnsi" w:hAnsiTheme="minorHAnsi" w:cstheme="minorHAnsi"/>
          <w:sz w:val="22"/>
          <w:szCs w:val="22"/>
        </w:rPr>
        <w:t xml:space="preserve">thermal </w:t>
      </w:r>
      <w:proofErr w:type="gramStart"/>
      <w:r w:rsidR="00D44DE1" w:rsidRPr="00657A2D">
        <w:rPr>
          <w:rFonts w:asciiTheme="minorHAnsi" w:hAnsiTheme="minorHAnsi" w:cstheme="minorHAnsi"/>
          <w:sz w:val="22"/>
          <w:szCs w:val="22"/>
        </w:rPr>
        <w:t>units</w:t>
      </w:r>
      <w:r w:rsidRPr="00657A2D">
        <w:rPr>
          <w:rFonts w:asciiTheme="minorHAnsi" w:hAnsiTheme="minorHAnsi" w:cstheme="minorHAnsi"/>
          <w:sz w:val="22"/>
          <w:szCs w:val="22"/>
        </w:rPr>
        <w:t>;</w:t>
      </w:r>
      <w:proofErr w:type="gramEnd"/>
    </w:p>
    <w:p w14:paraId="7C8FB716" w14:textId="77777777" w:rsidR="00D04321" w:rsidRPr="00657A2D" w:rsidRDefault="00D04321" w:rsidP="00D04321">
      <w:pPr>
        <w:pStyle w:val="ListParagraph"/>
        <w:numPr>
          <w:ilvl w:val="0"/>
          <w:numId w:val="32"/>
        </w:numPr>
        <w:rPr>
          <w:rFonts w:asciiTheme="minorHAnsi" w:hAnsiTheme="minorHAnsi" w:cstheme="minorHAnsi"/>
          <w:sz w:val="22"/>
          <w:szCs w:val="22"/>
        </w:rPr>
      </w:pPr>
      <w:r w:rsidRPr="00657A2D">
        <w:rPr>
          <w:rFonts w:asciiTheme="minorHAnsi" w:hAnsiTheme="minorHAnsi" w:cstheme="minorHAnsi"/>
          <w:sz w:val="22"/>
          <w:szCs w:val="22"/>
        </w:rPr>
        <w:t xml:space="preserve">Information related to water usage by the high resource use facility, including:  </w:t>
      </w:r>
    </w:p>
    <w:p w14:paraId="3FC62898" w14:textId="77777777" w:rsidR="00EA486C" w:rsidRPr="00657A2D" w:rsidRDefault="00EA486C" w:rsidP="00D04321">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sources of water used in the facility, including, but not limited to, </w:t>
      </w:r>
      <w:proofErr w:type="gramStart"/>
      <w:r w:rsidRPr="00657A2D">
        <w:rPr>
          <w:rFonts w:asciiTheme="minorHAnsi" w:hAnsiTheme="minorHAnsi" w:cstheme="minorHAnsi"/>
          <w:sz w:val="22"/>
          <w:szCs w:val="22"/>
        </w:rPr>
        <w:t>rain water</w:t>
      </w:r>
      <w:proofErr w:type="gramEnd"/>
      <w:r w:rsidRPr="00657A2D">
        <w:rPr>
          <w:rFonts w:asciiTheme="minorHAnsi" w:hAnsiTheme="minorHAnsi" w:cstheme="minorHAnsi"/>
          <w:sz w:val="22"/>
          <w:szCs w:val="22"/>
        </w:rPr>
        <w:t xml:space="preserve">, treated water, well water, on-site reservoir, and gray </w:t>
      </w:r>
      <w:proofErr w:type="gramStart"/>
      <w:r w:rsidRPr="00657A2D">
        <w:rPr>
          <w:rFonts w:asciiTheme="minorHAnsi" w:hAnsiTheme="minorHAnsi" w:cstheme="minorHAnsi"/>
          <w:sz w:val="22"/>
          <w:szCs w:val="22"/>
        </w:rPr>
        <w:t>water;</w:t>
      </w:r>
      <w:proofErr w:type="gramEnd"/>
      <w:r w:rsidRPr="00657A2D">
        <w:rPr>
          <w:rFonts w:asciiTheme="minorHAnsi" w:hAnsiTheme="minorHAnsi" w:cstheme="minorHAnsi"/>
          <w:sz w:val="22"/>
          <w:szCs w:val="22"/>
        </w:rPr>
        <w:t xml:space="preserve">  </w:t>
      </w:r>
    </w:p>
    <w:p w14:paraId="747A3135" w14:textId="68AFEA8E" w:rsidR="00D04321" w:rsidRPr="00657A2D" w:rsidRDefault="00D04321" w:rsidP="00D04321">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amount of water used annually </w:t>
      </w:r>
      <w:proofErr w:type="gramStart"/>
      <w:r w:rsidRPr="00657A2D">
        <w:rPr>
          <w:rFonts w:asciiTheme="minorHAnsi" w:hAnsiTheme="minorHAnsi" w:cstheme="minorHAnsi"/>
          <w:sz w:val="22"/>
          <w:szCs w:val="22"/>
        </w:rPr>
        <w:t>measured</w:t>
      </w:r>
      <w:proofErr w:type="gramEnd"/>
      <w:r w:rsidRPr="00657A2D">
        <w:rPr>
          <w:rFonts w:asciiTheme="minorHAnsi" w:hAnsiTheme="minorHAnsi" w:cstheme="minorHAnsi"/>
          <w:sz w:val="22"/>
          <w:szCs w:val="22"/>
        </w:rPr>
        <w:t xml:space="preserve"> in </w:t>
      </w:r>
      <w:proofErr w:type="gramStart"/>
      <w:r w:rsidRPr="00657A2D">
        <w:rPr>
          <w:rFonts w:asciiTheme="minorHAnsi" w:hAnsiTheme="minorHAnsi" w:cstheme="minorHAnsi"/>
          <w:sz w:val="22"/>
          <w:szCs w:val="22"/>
        </w:rPr>
        <w:t>gallons;</w:t>
      </w:r>
      <w:proofErr w:type="gramEnd"/>
      <w:r w:rsidRPr="00657A2D">
        <w:rPr>
          <w:rFonts w:asciiTheme="minorHAnsi" w:hAnsiTheme="minorHAnsi" w:cstheme="minorHAnsi"/>
          <w:sz w:val="22"/>
          <w:szCs w:val="22"/>
        </w:rPr>
        <w:t xml:space="preserve">  </w:t>
      </w:r>
    </w:p>
    <w:p w14:paraId="39F7364A" w14:textId="77777777" w:rsidR="00D04321" w:rsidRPr="00657A2D" w:rsidRDefault="00D04321" w:rsidP="00D04321">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mean amount of water used daily </w:t>
      </w:r>
      <w:proofErr w:type="gramStart"/>
      <w:r w:rsidRPr="00657A2D">
        <w:rPr>
          <w:rFonts w:asciiTheme="minorHAnsi" w:hAnsiTheme="minorHAnsi" w:cstheme="minorHAnsi"/>
          <w:sz w:val="22"/>
          <w:szCs w:val="22"/>
        </w:rPr>
        <w:t>measured</w:t>
      </w:r>
      <w:proofErr w:type="gramEnd"/>
      <w:r w:rsidRPr="00657A2D">
        <w:rPr>
          <w:rFonts w:asciiTheme="minorHAnsi" w:hAnsiTheme="minorHAnsi" w:cstheme="minorHAnsi"/>
          <w:sz w:val="22"/>
          <w:szCs w:val="22"/>
        </w:rPr>
        <w:t xml:space="preserve"> in </w:t>
      </w:r>
      <w:proofErr w:type="gramStart"/>
      <w:r w:rsidRPr="00657A2D">
        <w:rPr>
          <w:rFonts w:asciiTheme="minorHAnsi" w:hAnsiTheme="minorHAnsi" w:cstheme="minorHAnsi"/>
          <w:sz w:val="22"/>
          <w:szCs w:val="22"/>
        </w:rPr>
        <w:t>gallons;</w:t>
      </w:r>
      <w:proofErr w:type="gramEnd"/>
      <w:r w:rsidRPr="00657A2D">
        <w:rPr>
          <w:rFonts w:asciiTheme="minorHAnsi" w:hAnsiTheme="minorHAnsi" w:cstheme="minorHAnsi"/>
          <w:sz w:val="22"/>
          <w:szCs w:val="22"/>
        </w:rPr>
        <w:t xml:space="preserve">  </w:t>
      </w:r>
    </w:p>
    <w:p w14:paraId="6CC805C4" w14:textId="7D04E499" w:rsidR="00543F1C" w:rsidRPr="00657A2D" w:rsidRDefault="00D04321" w:rsidP="00D04321">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annual amount of water discharged </w:t>
      </w:r>
      <w:r w:rsidR="00543F1C" w:rsidRPr="00657A2D">
        <w:rPr>
          <w:rFonts w:asciiTheme="minorHAnsi" w:hAnsiTheme="minorHAnsi" w:cstheme="minorHAnsi"/>
          <w:sz w:val="22"/>
          <w:szCs w:val="22"/>
        </w:rPr>
        <w:t>daily as wastewater</w:t>
      </w:r>
      <w:r w:rsidR="00824CFB" w:rsidRPr="00657A2D">
        <w:rPr>
          <w:rFonts w:asciiTheme="minorHAnsi" w:hAnsiTheme="minorHAnsi" w:cstheme="minorHAnsi"/>
          <w:sz w:val="22"/>
          <w:szCs w:val="22"/>
        </w:rPr>
        <w:t xml:space="preserve"> measured in </w:t>
      </w:r>
      <w:proofErr w:type="gramStart"/>
      <w:r w:rsidR="00824CFB" w:rsidRPr="00657A2D">
        <w:rPr>
          <w:rFonts w:asciiTheme="minorHAnsi" w:hAnsiTheme="minorHAnsi" w:cstheme="minorHAnsi"/>
          <w:sz w:val="22"/>
          <w:szCs w:val="22"/>
        </w:rPr>
        <w:t>gallons</w:t>
      </w:r>
      <w:r w:rsidR="00543F1C" w:rsidRPr="00657A2D">
        <w:rPr>
          <w:rFonts w:asciiTheme="minorHAnsi" w:hAnsiTheme="minorHAnsi" w:cstheme="minorHAnsi"/>
          <w:sz w:val="22"/>
          <w:szCs w:val="22"/>
        </w:rPr>
        <w:t>;</w:t>
      </w:r>
      <w:proofErr w:type="gramEnd"/>
    </w:p>
    <w:p w14:paraId="6851EDF8" w14:textId="0F3BA61E" w:rsidR="00D04321" w:rsidRPr="00657A2D" w:rsidRDefault="00543F1C" w:rsidP="00D04321">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annual amount of water </w:t>
      </w:r>
      <w:r w:rsidR="00D04321" w:rsidRPr="00657A2D">
        <w:rPr>
          <w:rFonts w:asciiTheme="minorHAnsi" w:hAnsiTheme="minorHAnsi" w:cstheme="minorHAnsi"/>
          <w:sz w:val="22"/>
          <w:szCs w:val="22"/>
        </w:rPr>
        <w:t xml:space="preserve">emitted into the environment measured in gallons; and  </w:t>
      </w:r>
    </w:p>
    <w:p w14:paraId="2B15CA6D" w14:textId="5C4C1551" w:rsidR="00824CFB" w:rsidRPr="00657A2D" w:rsidRDefault="00D04321" w:rsidP="00D04321">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quantity in gallons and method of pretreatment of water being discharged to a permitted wastewater disposal system, if any, to remove pollutants or change </w:t>
      </w:r>
      <w:r w:rsidR="00D44DE1" w:rsidRPr="00657A2D">
        <w:rPr>
          <w:rFonts w:asciiTheme="minorHAnsi" w:hAnsiTheme="minorHAnsi" w:cstheme="minorHAnsi"/>
          <w:sz w:val="22"/>
          <w:szCs w:val="22"/>
        </w:rPr>
        <w:t>the water</w:t>
      </w:r>
      <w:r w:rsidRPr="00657A2D">
        <w:rPr>
          <w:rFonts w:asciiTheme="minorHAnsi" w:hAnsiTheme="minorHAnsi" w:cstheme="minorHAnsi"/>
          <w:sz w:val="22"/>
          <w:szCs w:val="22"/>
        </w:rPr>
        <w:t xml:space="preserve"> temperature before being discharged or emitted into the environment; and  </w:t>
      </w:r>
    </w:p>
    <w:p w14:paraId="37237965" w14:textId="3D19351D" w:rsidR="00E47B57" w:rsidRPr="00657A2D" w:rsidRDefault="00D04321" w:rsidP="00E47B57">
      <w:pPr>
        <w:pStyle w:val="ListParagraph"/>
        <w:numPr>
          <w:ilvl w:val="0"/>
          <w:numId w:val="32"/>
        </w:numPr>
        <w:rPr>
          <w:rFonts w:asciiTheme="minorHAnsi" w:hAnsiTheme="minorHAnsi" w:cstheme="minorHAnsi"/>
          <w:sz w:val="22"/>
          <w:szCs w:val="22"/>
        </w:rPr>
      </w:pPr>
      <w:r w:rsidRPr="00657A2D">
        <w:rPr>
          <w:rFonts w:asciiTheme="minorHAnsi" w:hAnsiTheme="minorHAnsi" w:cstheme="minorHAnsi"/>
          <w:sz w:val="22"/>
          <w:szCs w:val="22"/>
        </w:rPr>
        <w:t xml:space="preserve">Other information regarding community impact of the high </w:t>
      </w:r>
      <w:r w:rsidR="00E47B57" w:rsidRPr="00657A2D">
        <w:rPr>
          <w:rFonts w:asciiTheme="minorHAnsi" w:hAnsiTheme="minorHAnsi" w:cstheme="minorHAnsi"/>
          <w:sz w:val="22"/>
          <w:szCs w:val="22"/>
        </w:rPr>
        <w:t>data center, including</w:t>
      </w:r>
      <w:r w:rsidRPr="00657A2D">
        <w:rPr>
          <w:rFonts w:asciiTheme="minorHAnsi" w:hAnsiTheme="minorHAnsi" w:cstheme="minorHAnsi"/>
          <w:sz w:val="22"/>
          <w:szCs w:val="22"/>
        </w:rPr>
        <w:t xml:space="preserve">:  </w:t>
      </w:r>
    </w:p>
    <w:p w14:paraId="4351694C" w14:textId="5555A71F" w:rsidR="00E47B57" w:rsidRPr="00657A2D" w:rsidRDefault="00D04321" w:rsidP="00E47B57">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The total amount of ad </w:t>
      </w:r>
      <w:proofErr w:type="gramStart"/>
      <w:r w:rsidRPr="00657A2D">
        <w:rPr>
          <w:rFonts w:asciiTheme="minorHAnsi" w:hAnsiTheme="minorHAnsi" w:cstheme="minorHAnsi"/>
          <w:sz w:val="22"/>
          <w:szCs w:val="22"/>
        </w:rPr>
        <w:t>valorem taxes</w:t>
      </w:r>
      <w:proofErr w:type="gramEnd"/>
      <w:r w:rsidRPr="00657A2D">
        <w:rPr>
          <w:rFonts w:asciiTheme="minorHAnsi" w:hAnsiTheme="minorHAnsi" w:cstheme="minorHAnsi"/>
          <w:sz w:val="22"/>
          <w:szCs w:val="22"/>
        </w:rPr>
        <w:t xml:space="preserve"> paid in the previous five years with </w:t>
      </w:r>
      <w:r w:rsidR="00E47B57" w:rsidRPr="00657A2D">
        <w:rPr>
          <w:rFonts w:asciiTheme="minorHAnsi" w:hAnsiTheme="minorHAnsi" w:cstheme="minorHAnsi"/>
          <w:sz w:val="22"/>
          <w:szCs w:val="22"/>
        </w:rPr>
        <w:t>respect to</w:t>
      </w:r>
      <w:r w:rsidRPr="00657A2D">
        <w:rPr>
          <w:rFonts w:asciiTheme="minorHAnsi" w:hAnsiTheme="minorHAnsi" w:cstheme="minorHAnsi"/>
          <w:sz w:val="22"/>
          <w:szCs w:val="22"/>
        </w:rPr>
        <w:t xml:space="preserve"> the </w:t>
      </w:r>
      <w:proofErr w:type="gramStart"/>
      <w:r w:rsidRPr="00657A2D">
        <w:rPr>
          <w:rFonts w:asciiTheme="minorHAnsi" w:hAnsiTheme="minorHAnsi" w:cstheme="minorHAnsi"/>
          <w:sz w:val="22"/>
          <w:szCs w:val="22"/>
        </w:rPr>
        <w:t>facility;</w:t>
      </w:r>
      <w:proofErr w:type="gramEnd"/>
      <w:r w:rsidRPr="00657A2D">
        <w:rPr>
          <w:rFonts w:asciiTheme="minorHAnsi" w:hAnsiTheme="minorHAnsi" w:cstheme="minorHAnsi"/>
          <w:sz w:val="22"/>
          <w:szCs w:val="22"/>
        </w:rPr>
        <w:t xml:space="preserve"> </w:t>
      </w:r>
    </w:p>
    <w:p w14:paraId="74D533BF" w14:textId="77777777" w:rsidR="00E47B57" w:rsidRPr="00657A2D" w:rsidRDefault="00D04321" w:rsidP="00E47B57">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Any air quality permits required; and </w:t>
      </w:r>
    </w:p>
    <w:p w14:paraId="307120A5" w14:textId="16A70FFD" w:rsidR="00D04321" w:rsidRPr="00657A2D" w:rsidRDefault="008B7C16" w:rsidP="00E47B57">
      <w:pPr>
        <w:pStyle w:val="ListParagraph"/>
        <w:numPr>
          <w:ilvl w:val="1"/>
          <w:numId w:val="32"/>
        </w:numPr>
        <w:rPr>
          <w:rFonts w:asciiTheme="minorHAnsi" w:hAnsiTheme="minorHAnsi" w:cstheme="minorHAnsi"/>
          <w:sz w:val="22"/>
          <w:szCs w:val="22"/>
        </w:rPr>
      </w:pPr>
      <w:r w:rsidRPr="00657A2D">
        <w:rPr>
          <w:rFonts w:asciiTheme="minorHAnsi" w:hAnsiTheme="minorHAnsi" w:cstheme="minorHAnsi"/>
          <w:sz w:val="22"/>
          <w:szCs w:val="22"/>
        </w:rPr>
        <w:t xml:space="preserve">Noise report: </w:t>
      </w:r>
      <w:r w:rsidR="00944BD4" w:rsidRPr="00657A2D">
        <w:rPr>
          <w:rFonts w:asciiTheme="minorHAnsi" w:hAnsiTheme="minorHAnsi" w:cstheme="minorHAnsi"/>
          <w:sz w:val="22"/>
          <w:szCs w:val="22"/>
        </w:rPr>
        <w:t xml:space="preserve">The operator will provide the results of the quarterly noise </w:t>
      </w:r>
      <w:r w:rsidR="00106304" w:rsidRPr="00657A2D">
        <w:rPr>
          <w:rFonts w:asciiTheme="minorHAnsi" w:hAnsiTheme="minorHAnsi" w:cstheme="minorHAnsi"/>
          <w:sz w:val="22"/>
          <w:szCs w:val="22"/>
        </w:rPr>
        <w:t xml:space="preserve">monitoring </w:t>
      </w:r>
      <w:r w:rsidR="00D04321" w:rsidRPr="00657A2D">
        <w:rPr>
          <w:rFonts w:asciiTheme="minorHAnsi" w:hAnsiTheme="minorHAnsi" w:cstheme="minorHAnsi"/>
          <w:sz w:val="22"/>
          <w:szCs w:val="22"/>
        </w:rPr>
        <w:t>emitted by the facility.</w:t>
      </w:r>
    </w:p>
    <w:p w14:paraId="52595BFC" w14:textId="501C43C6" w:rsidR="00C15D5E" w:rsidRPr="00657A2D" w:rsidRDefault="00C15D5E" w:rsidP="00BA39E9">
      <w:pPr>
        <w:rPr>
          <w:rFonts w:asciiTheme="minorHAnsi" w:hAnsiTheme="minorHAnsi" w:cstheme="minorHAnsi"/>
          <w:sz w:val="22"/>
          <w:szCs w:val="22"/>
        </w:rPr>
        <w:sectPr w:rsidR="00C15D5E" w:rsidRPr="00657A2D">
          <w:headerReference w:type="default" r:id="rId21"/>
          <w:footerReference w:type="default" r:id="rId22"/>
          <w:type w:val="continuous"/>
          <w:pgSz w:w="12240" w:h="15840"/>
          <w:pgMar w:top="1440" w:right="1440" w:bottom="1440" w:left="1440" w:header="720" w:footer="720" w:gutter="0"/>
          <w:cols w:space="720"/>
        </w:sectPr>
      </w:pPr>
    </w:p>
    <w:p w14:paraId="492AA6C4" w14:textId="33820937"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C46714" w:rsidRPr="00657A2D">
        <w:rPr>
          <w:rFonts w:asciiTheme="minorHAnsi" w:hAnsiTheme="minorHAnsi" w:cstheme="minorHAnsi"/>
          <w:b/>
          <w:bCs/>
          <w:sz w:val="22"/>
          <w:szCs w:val="22"/>
        </w:rPr>
        <w:t>XX</w:t>
      </w:r>
      <w:r w:rsidRPr="00657A2D">
        <w:rPr>
          <w:rFonts w:asciiTheme="minorHAnsi" w:hAnsiTheme="minorHAnsi" w:cstheme="minorHAnsi"/>
          <w:b/>
          <w:bCs/>
          <w:sz w:val="22"/>
          <w:szCs w:val="22"/>
        </w:rPr>
        <w:t>. Effective date.</w:t>
      </w:r>
    </w:p>
    <w:p w14:paraId="044C8D57" w14:textId="7A8C007D" w:rsidR="006A15D6" w:rsidRPr="00657A2D" w:rsidRDefault="00EC5F89" w:rsidP="00BA39E9">
      <w:pPr>
        <w:rPr>
          <w:rFonts w:asciiTheme="minorHAnsi" w:hAnsiTheme="minorHAnsi" w:cstheme="minorHAnsi"/>
          <w:sz w:val="22"/>
          <w:szCs w:val="22"/>
        </w:rPr>
      </w:pPr>
      <w:r w:rsidRPr="00657A2D">
        <w:rPr>
          <w:rFonts w:asciiTheme="minorHAnsi" w:hAnsiTheme="minorHAnsi" w:cstheme="minorHAnsi"/>
          <w:sz w:val="22"/>
          <w:szCs w:val="22"/>
        </w:rPr>
        <w:t xml:space="preserve">This article shall be effective immediately upon passage, pursuant to applicable legal and procedural </w:t>
      </w:r>
      <w:r w:rsidR="00C81970" w:rsidRPr="00657A2D">
        <w:rPr>
          <w:rFonts w:asciiTheme="minorHAnsi" w:hAnsiTheme="minorHAnsi" w:cstheme="minorHAnsi"/>
          <w:sz w:val="22"/>
          <w:szCs w:val="22"/>
        </w:rPr>
        <w:t>requirements</w:t>
      </w:r>
      <w:r w:rsidRPr="00657A2D">
        <w:rPr>
          <w:rFonts w:asciiTheme="minorHAnsi" w:hAnsiTheme="minorHAnsi" w:cstheme="minorHAnsi"/>
          <w:sz w:val="22"/>
          <w:szCs w:val="22"/>
        </w:rPr>
        <w:t xml:space="preserve">. </w:t>
      </w:r>
    </w:p>
    <w:p w14:paraId="1C47C7DA" w14:textId="1996B7D4" w:rsidR="006A15D6" w:rsidRPr="00657A2D" w:rsidRDefault="00EC5F89" w:rsidP="00BA39E9">
      <w:pPr>
        <w:rPr>
          <w:rFonts w:asciiTheme="minorHAnsi" w:hAnsiTheme="minorHAnsi" w:cstheme="minorHAnsi"/>
          <w:b/>
          <w:bCs/>
          <w:sz w:val="22"/>
          <w:szCs w:val="22"/>
        </w:rPr>
      </w:pPr>
      <w:r w:rsidRPr="00657A2D">
        <w:rPr>
          <w:rFonts w:asciiTheme="minorHAnsi" w:hAnsiTheme="minorHAnsi" w:cstheme="minorHAnsi"/>
          <w:b/>
          <w:bCs/>
          <w:sz w:val="22"/>
          <w:szCs w:val="22"/>
        </w:rPr>
        <w:t xml:space="preserve">Section </w:t>
      </w:r>
      <w:r w:rsidR="00C46714" w:rsidRPr="00657A2D">
        <w:rPr>
          <w:rFonts w:asciiTheme="minorHAnsi" w:hAnsiTheme="minorHAnsi" w:cstheme="minorHAnsi"/>
          <w:b/>
          <w:bCs/>
          <w:sz w:val="22"/>
          <w:szCs w:val="22"/>
        </w:rPr>
        <w:t>XX</w:t>
      </w:r>
      <w:r w:rsidRPr="00657A2D">
        <w:rPr>
          <w:rFonts w:asciiTheme="minorHAnsi" w:hAnsiTheme="minorHAnsi" w:cstheme="minorHAnsi"/>
          <w:b/>
          <w:bCs/>
          <w:sz w:val="22"/>
          <w:szCs w:val="22"/>
        </w:rPr>
        <w:t>. Authority.</w:t>
      </w:r>
    </w:p>
    <w:p w14:paraId="148B354C" w14:textId="287DE281" w:rsidR="006A15D6" w:rsidRDefault="00EC5F89" w:rsidP="00BA39E9">
      <w:pPr>
        <w:rPr>
          <w:rFonts w:asciiTheme="minorHAnsi" w:hAnsiTheme="minorHAnsi" w:cstheme="minorHAnsi"/>
          <w:sz w:val="22"/>
          <w:szCs w:val="22"/>
        </w:rPr>
      </w:pPr>
      <w:r w:rsidRPr="00657A2D">
        <w:rPr>
          <w:rFonts w:asciiTheme="minorHAnsi" w:hAnsiTheme="minorHAnsi" w:cstheme="minorHAnsi"/>
          <w:sz w:val="22"/>
          <w:szCs w:val="22"/>
        </w:rPr>
        <w:t xml:space="preserve">This local ordinance is enacted pursuant to applicable authority granted by the state and federal government. </w:t>
      </w:r>
    </w:p>
    <w:p w14:paraId="1510152A" w14:textId="77777777" w:rsidR="002649AF" w:rsidRDefault="002649AF" w:rsidP="00BA39E9">
      <w:pPr>
        <w:rPr>
          <w:rFonts w:asciiTheme="minorHAnsi" w:hAnsiTheme="minorHAnsi" w:cstheme="minorHAnsi"/>
          <w:sz w:val="22"/>
          <w:szCs w:val="22"/>
        </w:rPr>
      </w:pPr>
    </w:p>
    <w:p w14:paraId="65730876" w14:textId="77777777" w:rsidR="005304A3" w:rsidRDefault="005304A3">
      <w:pPr>
        <w:jc w:val="both"/>
        <w:rPr>
          <w:rFonts w:asciiTheme="minorHAnsi" w:hAnsiTheme="minorHAnsi" w:cstheme="minorHAnsi"/>
          <w:b/>
          <w:bCs/>
          <w:sz w:val="22"/>
          <w:szCs w:val="22"/>
        </w:rPr>
      </w:pPr>
      <w:r>
        <w:rPr>
          <w:rFonts w:asciiTheme="minorHAnsi" w:hAnsiTheme="minorHAnsi" w:cstheme="minorHAnsi"/>
          <w:b/>
          <w:bCs/>
          <w:sz w:val="22"/>
          <w:szCs w:val="22"/>
        </w:rPr>
        <w:br w:type="page"/>
      </w:r>
    </w:p>
    <w:p w14:paraId="5643C836" w14:textId="0563EC75" w:rsidR="002649AF" w:rsidRDefault="00670436" w:rsidP="00523BDD">
      <w:pPr>
        <w:pStyle w:val="Heading1"/>
      </w:pPr>
      <w:r w:rsidRPr="00670436">
        <w:lastRenderedPageBreak/>
        <w:t>Addendums and other great language</w:t>
      </w:r>
    </w:p>
    <w:p w14:paraId="4F84D45A" w14:textId="093FF780" w:rsidR="00670436" w:rsidRDefault="00670436" w:rsidP="00BA39E9">
      <w:pPr>
        <w:rPr>
          <w:rFonts w:asciiTheme="minorHAnsi" w:hAnsiTheme="minorHAnsi" w:cstheme="minorHAnsi"/>
          <w:sz w:val="22"/>
          <w:szCs w:val="22"/>
        </w:rPr>
      </w:pPr>
      <w:r w:rsidRPr="005304A3">
        <w:rPr>
          <w:rFonts w:asciiTheme="minorHAnsi" w:hAnsiTheme="minorHAnsi" w:cstheme="minorHAnsi"/>
          <w:b/>
          <w:bCs/>
          <w:sz w:val="22"/>
          <w:szCs w:val="22"/>
          <w:u w:val="single"/>
        </w:rPr>
        <w:t>Decommissioning</w:t>
      </w:r>
      <w:r w:rsidR="00060B45">
        <w:rPr>
          <w:rStyle w:val="FootnoteReference"/>
          <w:rFonts w:asciiTheme="minorHAnsi" w:hAnsiTheme="minorHAnsi" w:cstheme="minorHAnsi"/>
          <w:sz w:val="22"/>
          <w:szCs w:val="22"/>
        </w:rPr>
        <w:footnoteReference w:id="1"/>
      </w:r>
    </w:p>
    <w:p w14:paraId="72846B52" w14:textId="5F889C1F" w:rsidR="00276C16" w:rsidRP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Upon cessation of use of the Property as a Data Center Campus, it shall be</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decommissioned as set forth below:</w:t>
      </w:r>
    </w:p>
    <w:p w14:paraId="2F0B9081" w14:textId="37B71BD5" w:rsidR="00276C16" w:rsidRPr="00276C16" w:rsidRDefault="008D0C04" w:rsidP="00276C16">
      <w:pPr>
        <w:rPr>
          <w:rFonts w:asciiTheme="minorHAnsi" w:hAnsiTheme="minorHAnsi" w:cstheme="minorHAnsi"/>
          <w:sz w:val="22"/>
          <w:szCs w:val="22"/>
        </w:rPr>
      </w:pPr>
      <w:r w:rsidRPr="00110FDA">
        <w:rPr>
          <w:rFonts w:asciiTheme="minorHAnsi" w:hAnsiTheme="minorHAnsi" w:cstheme="minorHAnsi"/>
          <w:sz w:val="22"/>
          <w:szCs w:val="22"/>
        </w:rPr>
        <w:t xml:space="preserve">A. </w:t>
      </w:r>
      <w:r w:rsidR="00276C16" w:rsidRPr="00276C16">
        <w:rPr>
          <w:rFonts w:asciiTheme="minorHAnsi" w:hAnsiTheme="minorHAnsi" w:cstheme="minorHAnsi"/>
          <w:sz w:val="22"/>
          <w:szCs w:val="22"/>
        </w:rPr>
        <w:t>Decommissioning is the process of safely closing and dismantling a data</w:t>
      </w:r>
      <w:r w:rsidRPr="00110FDA">
        <w:rPr>
          <w:rFonts w:asciiTheme="minorHAnsi" w:hAnsiTheme="minorHAnsi" w:cstheme="minorHAnsi"/>
          <w:sz w:val="22"/>
          <w:szCs w:val="22"/>
        </w:rPr>
        <w:t xml:space="preserve"> </w:t>
      </w:r>
      <w:r w:rsidR="00276C16" w:rsidRPr="00276C16">
        <w:rPr>
          <w:rFonts w:asciiTheme="minorHAnsi" w:hAnsiTheme="minorHAnsi" w:cstheme="minorHAnsi"/>
          <w:sz w:val="22"/>
          <w:szCs w:val="22"/>
        </w:rPr>
        <w:t>warehouse, including the removal of all equipment, hazardous materials, and</w:t>
      </w:r>
      <w:r w:rsidRPr="00110FDA">
        <w:rPr>
          <w:rFonts w:asciiTheme="minorHAnsi" w:hAnsiTheme="minorHAnsi" w:cstheme="minorHAnsi"/>
          <w:sz w:val="22"/>
          <w:szCs w:val="22"/>
        </w:rPr>
        <w:t xml:space="preserve"> </w:t>
      </w:r>
      <w:r w:rsidR="00276C16" w:rsidRPr="00276C16">
        <w:rPr>
          <w:rFonts w:asciiTheme="minorHAnsi" w:hAnsiTheme="minorHAnsi" w:cstheme="minorHAnsi"/>
          <w:sz w:val="22"/>
          <w:szCs w:val="22"/>
        </w:rPr>
        <w:t>restoration of the site.</w:t>
      </w:r>
    </w:p>
    <w:p w14:paraId="69B381FF" w14:textId="77777777" w:rsidR="00276C16" w:rsidRP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B. Decommissioning Plan:</w:t>
      </w:r>
    </w:p>
    <w:p w14:paraId="11251E0A" w14:textId="6E37430B" w:rsidR="00276C16" w:rsidRP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1. Submission Requirement: Developers must submit a decommissioning</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plan to the Spalding County Community Development Department prior</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to the issuance of a building permit for a data warehouse.</w:t>
      </w:r>
    </w:p>
    <w:p w14:paraId="57FE2FE3" w14:textId="77777777" w:rsidR="00276C16" w:rsidRP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2. Plan Contents: The decommissioning plan shall include, at a minimum:</w:t>
      </w:r>
    </w:p>
    <w:p w14:paraId="7E74D6C9" w14:textId="60552658" w:rsidR="00276C16" w:rsidRP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 Timeline: A detailed timeline for the decommissioning process,</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including key milestones and estimated completion dates for each</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phase of the decommissioning activities.</w:t>
      </w:r>
    </w:p>
    <w:p w14:paraId="3A6161C7" w14:textId="30A04DE7" w:rsidR="00276C16" w:rsidRP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 Equipment and Material Removal Procedures: Specific procedures</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for the safe dismantling and removal of all equipment, materials, and</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structures from the data warehouse site. This should include methods</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for handling and transporting equipment to prevent damage and</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ensure safety.</w:t>
      </w:r>
    </w:p>
    <w:p w14:paraId="512044BF" w14:textId="0BCE8283" w:rsidR="00276C16" w:rsidRP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 Hazardous Materials Management: Detailed methods for</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identifying, handling, and disposing of hazardous materials in</w:t>
      </w:r>
      <w:r w:rsidR="008D0C04" w:rsidRPr="00110FDA">
        <w:rPr>
          <w:rFonts w:asciiTheme="minorHAnsi" w:hAnsiTheme="minorHAnsi" w:cstheme="minorHAnsi"/>
          <w:sz w:val="22"/>
          <w:szCs w:val="22"/>
        </w:rPr>
        <w:t xml:space="preserve"> </w:t>
      </w:r>
      <w:r w:rsidRPr="00276C16">
        <w:rPr>
          <w:rFonts w:asciiTheme="minorHAnsi" w:hAnsiTheme="minorHAnsi" w:cstheme="minorHAnsi"/>
          <w:sz w:val="22"/>
          <w:szCs w:val="22"/>
        </w:rPr>
        <w:t>compliance with federal, state, and local regulations. This should</w:t>
      </w:r>
      <w:r w:rsidR="00110FDA" w:rsidRPr="00110FDA">
        <w:rPr>
          <w:rFonts w:asciiTheme="minorHAnsi" w:hAnsiTheme="minorHAnsi" w:cstheme="minorHAnsi"/>
          <w:sz w:val="22"/>
          <w:szCs w:val="22"/>
        </w:rPr>
        <w:t xml:space="preserve"> </w:t>
      </w:r>
      <w:r w:rsidRPr="00276C16">
        <w:rPr>
          <w:rFonts w:asciiTheme="minorHAnsi" w:hAnsiTheme="minorHAnsi" w:cstheme="minorHAnsi"/>
          <w:sz w:val="22"/>
          <w:szCs w:val="22"/>
        </w:rPr>
        <w:t>include a list of all hazardous materials present on-site and the</w:t>
      </w:r>
      <w:r w:rsidR="00110FDA" w:rsidRPr="00110FDA">
        <w:rPr>
          <w:rFonts w:asciiTheme="minorHAnsi" w:hAnsiTheme="minorHAnsi" w:cstheme="minorHAnsi"/>
          <w:sz w:val="22"/>
          <w:szCs w:val="22"/>
        </w:rPr>
        <w:t xml:space="preserve"> </w:t>
      </w:r>
      <w:r w:rsidRPr="00276C16">
        <w:rPr>
          <w:rFonts w:asciiTheme="minorHAnsi" w:hAnsiTheme="minorHAnsi" w:cstheme="minorHAnsi"/>
          <w:sz w:val="22"/>
          <w:szCs w:val="22"/>
        </w:rPr>
        <w:t>procedures for their safe removal and disposal.</w:t>
      </w:r>
    </w:p>
    <w:p w14:paraId="5909C21B" w14:textId="167CF88C" w:rsidR="00276C16" w:rsidRDefault="00276C16" w:rsidP="00276C16">
      <w:pPr>
        <w:rPr>
          <w:rFonts w:asciiTheme="minorHAnsi" w:hAnsiTheme="minorHAnsi" w:cstheme="minorHAnsi"/>
          <w:sz w:val="22"/>
          <w:szCs w:val="22"/>
        </w:rPr>
      </w:pPr>
      <w:r w:rsidRPr="00276C16">
        <w:rPr>
          <w:rFonts w:asciiTheme="minorHAnsi" w:hAnsiTheme="minorHAnsi" w:cstheme="minorHAnsi"/>
          <w:sz w:val="22"/>
          <w:szCs w:val="22"/>
        </w:rPr>
        <w:t>• Site Remediation Plan: A comprehensive plan for site remediation,</w:t>
      </w:r>
      <w:r w:rsidR="00110FDA" w:rsidRPr="00110FDA">
        <w:rPr>
          <w:rFonts w:asciiTheme="minorHAnsi" w:hAnsiTheme="minorHAnsi" w:cstheme="minorHAnsi"/>
          <w:sz w:val="22"/>
          <w:szCs w:val="22"/>
        </w:rPr>
        <w:t xml:space="preserve"> </w:t>
      </w:r>
      <w:r w:rsidRPr="00276C16">
        <w:rPr>
          <w:rFonts w:asciiTheme="minorHAnsi" w:hAnsiTheme="minorHAnsi" w:cstheme="minorHAnsi"/>
          <w:sz w:val="22"/>
          <w:szCs w:val="22"/>
        </w:rPr>
        <w:t>including soil and groundwater testing, identification of any</w:t>
      </w:r>
      <w:r w:rsidR="00110FDA" w:rsidRPr="00110FDA">
        <w:rPr>
          <w:rFonts w:asciiTheme="minorHAnsi" w:hAnsiTheme="minorHAnsi" w:cstheme="minorHAnsi"/>
          <w:sz w:val="22"/>
          <w:szCs w:val="22"/>
        </w:rPr>
        <w:t xml:space="preserve"> </w:t>
      </w:r>
      <w:r w:rsidRPr="00276C16">
        <w:rPr>
          <w:rFonts w:asciiTheme="minorHAnsi" w:hAnsiTheme="minorHAnsi" w:cstheme="minorHAnsi"/>
          <w:sz w:val="22"/>
          <w:szCs w:val="22"/>
        </w:rPr>
        <w:t>contamination, and proposed cleanup measures. This should also</w:t>
      </w:r>
      <w:r w:rsidR="00110FDA" w:rsidRPr="00110FDA">
        <w:rPr>
          <w:rFonts w:asciiTheme="minorHAnsi" w:hAnsiTheme="minorHAnsi" w:cstheme="minorHAnsi"/>
          <w:sz w:val="22"/>
          <w:szCs w:val="22"/>
        </w:rPr>
        <w:t xml:space="preserve"> </w:t>
      </w:r>
      <w:r w:rsidRPr="00276C16">
        <w:rPr>
          <w:rFonts w:asciiTheme="minorHAnsi" w:hAnsiTheme="minorHAnsi" w:cstheme="minorHAnsi"/>
          <w:sz w:val="22"/>
          <w:szCs w:val="22"/>
        </w:rPr>
        <w:t>include a timeline for remediation activities and methods for</w:t>
      </w:r>
      <w:r w:rsidR="00110FDA" w:rsidRPr="00110FDA">
        <w:rPr>
          <w:rFonts w:asciiTheme="minorHAnsi" w:hAnsiTheme="minorHAnsi" w:cstheme="minorHAnsi"/>
          <w:sz w:val="22"/>
          <w:szCs w:val="22"/>
        </w:rPr>
        <w:t xml:space="preserve"> </w:t>
      </w:r>
      <w:r w:rsidRPr="00110FDA">
        <w:rPr>
          <w:rFonts w:asciiTheme="minorHAnsi" w:hAnsiTheme="minorHAnsi" w:cstheme="minorHAnsi"/>
          <w:sz w:val="22"/>
          <w:szCs w:val="22"/>
        </w:rPr>
        <w:t>monitoring and verifying the effectiveness of the remediation efforts.</w:t>
      </w:r>
    </w:p>
    <w:p w14:paraId="347A809C" w14:textId="3A222CF7" w:rsidR="0026458A" w:rsidRPr="0026458A" w:rsidRDefault="0026458A" w:rsidP="0026458A">
      <w:pPr>
        <w:rPr>
          <w:rFonts w:asciiTheme="minorHAnsi" w:hAnsiTheme="minorHAnsi" w:cstheme="minorHAnsi"/>
          <w:sz w:val="22"/>
          <w:szCs w:val="22"/>
        </w:rPr>
      </w:pPr>
      <w:r w:rsidRPr="0026458A">
        <w:rPr>
          <w:rFonts w:asciiTheme="minorHAnsi" w:hAnsiTheme="minorHAnsi" w:cstheme="minorHAnsi"/>
          <w:sz w:val="22"/>
          <w:szCs w:val="22"/>
        </w:rPr>
        <w:t>• Site Restoration Plan: A detailed plan for restoring the site to a</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condition suitable for future use. This should include the removal of</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any remaining structures, re-vegetation, landscaping, and any other</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necessary measures to ensure the site is safe and aesthetically</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pleasing.</w:t>
      </w:r>
    </w:p>
    <w:p w14:paraId="0DE22B0A" w14:textId="0F8A180D" w:rsidR="0026458A" w:rsidRPr="0026458A" w:rsidRDefault="0026458A" w:rsidP="0026458A">
      <w:pPr>
        <w:rPr>
          <w:rFonts w:asciiTheme="minorHAnsi" w:hAnsiTheme="minorHAnsi" w:cstheme="minorHAnsi"/>
          <w:sz w:val="22"/>
          <w:szCs w:val="22"/>
        </w:rPr>
      </w:pPr>
      <w:r w:rsidRPr="0026458A">
        <w:rPr>
          <w:rFonts w:asciiTheme="minorHAnsi" w:hAnsiTheme="minorHAnsi" w:cstheme="minorHAnsi"/>
          <w:sz w:val="22"/>
          <w:szCs w:val="22"/>
        </w:rPr>
        <w:t>• Health and Safety Measures: Procedures to ensure the health and</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safety of workers and the surrounding community during the</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decommissioning process. This should include measures for dust</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control, noise reduction, and protection from hazardous materials.</w:t>
      </w:r>
    </w:p>
    <w:p w14:paraId="794DDDCD" w14:textId="1DAFBCD2" w:rsidR="0026458A" w:rsidRPr="0026458A" w:rsidRDefault="0026458A" w:rsidP="0026458A">
      <w:pPr>
        <w:rPr>
          <w:rFonts w:asciiTheme="minorHAnsi" w:hAnsiTheme="minorHAnsi" w:cstheme="minorHAnsi"/>
          <w:sz w:val="22"/>
          <w:szCs w:val="22"/>
        </w:rPr>
      </w:pPr>
      <w:r w:rsidRPr="0026458A">
        <w:rPr>
          <w:rFonts w:asciiTheme="minorHAnsi" w:hAnsiTheme="minorHAnsi" w:cstheme="minorHAnsi"/>
          <w:sz w:val="22"/>
          <w:szCs w:val="22"/>
        </w:rPr>
        <w:t>• Compliance and Reporting: A plan for ensuring compliance with all</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applicable regulations and the approved decommissioning plan. This</w:t>
      </w:r>
      <w:r w:rsidRPr="00AC1EE2">
        <w:rPr>
          <w:rFonts w:asciiTheme="minorHAnsi" w:hAnsiTheme="minorHAnsi" w:cstheme="minorHAnsi"/>
          <w:sz w:val="22"/>
          <w:szCs w:val="22"/>
        </w:rPr>
        <w:t xml:space="preserve"> </w:t>
      </w:r>
      <w:r w:rsidRPr="0026458A">
        <w:rPr>
          <w:rFonts w:asciiTheme="minorHAnsi" w:hAnsiTheme="minorHAnsi" w:cstheme="minorHAnsi"/>
          <w:sz w:val="22"/>
          <w:szCs w:val="22"/>
        </w:rPr>
        <w:t>should include procedures for regular reporting to the Spalding</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County Community Development Department, including progress</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reports and a final decommissioning report.</w:t>
      </w:r>
    </w:p>
    <w:p w14:paraId="21987CB1" w14:textId="55A512F7" w:rsidR="0026458A" w:rsidRPr="0026458A" w:rsidRDefault="0026458A" w:rsidP="0026458A">
      <w:pPr>
        <w:rPr>
          <w:rFonts w:asciiTheme="minorHAnsi" w:hAnsiTheme="minorHAnsi" w:cstheme="minorHAnsi"/>
          <w:sz w:val="22"/>
          <w:szCs w:val="22"/>
        </w:rPr>
      </w:pPr>
      <w:r w:rsidRPr="0026458A">
        <w:rPr>
          <w:rFonts w:asciiTheme="minorHAnsi" w:hAnsiTheme="minorHAnsi" w:cstheme="minorHAnsi"/>
          <w:sz w:val="22"/>
          <w:szCs w:val="22"/>
        </w:rPr>
        <w:lastRenderedPageBreak/>
        <w:t>C. Decommissioning Compliance: Compliance during the decommissioning</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process will be monitored through several key methods to ensure that all</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activities adhere to the approved decommissioning plan and applicable</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regulations. Here are the primary methods:</w:t>
      </w:r>
    </w:p>
    <w:p w14:paraId="1CA5FF50" w14:textId="0E880DCE" w:rsidR="0026458A" w:rsidRPr="0026458A" w:rsidRDefault="0026458A" w:rsidP="0026458A">
      <w:pPr>
        <w:rPr>
          <w:rFonts w:asciiTheme="minorHAnsi" w:hAnsiTheme="minorHAnsi" w:cstheme="minorHAnsi"/>
          <w:sz w:val="22"/>
          <w:szCs w:val="22"/>
        </w:rPr>
      </w:pPr>
      <w:r w:rsidRPr="0026458A">
        <w:rPr>
          <w:rFonts w:asciiTheme="minorHAnsi" w:hAnsiTheme="minorHAnsi" w:cstheme="minorHAnsi"/>
          <w:sz w:val="22"/>
          <w:szCs w:val="22"/>
        </w:rPr>
        <w:t>1. Regular Inspections: The Spalding County Community Development</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Department will conduct regular inspections of the data warehouse site.</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These inspections will verify that decommissioning activities are being</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carried out according to the approved plan and identify any deviations or</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non-compliance issues early on.</w:t>
      </w:r>
    </w:p>
    <w:p w14:paraId="7EA08F0F" w14:textId="05FDBD6D" w:rsidR="00110FDA" w:rsidRPr="00AC1EE2" w:rsidRDefault="0026458A" w:rsidP="0026458A">
      <w:pPr>
        <w:rPr>
          <w:rFonts w:asciiTheme="minorHAnsi" w:hAnsiTheme="minorHAnsi" w:cstheme="minorHAnsi"/>
          <w:sz w:val="22"/>
          <w:szCs w:val="22"/>
        </w:rPr>
      </w:pPr>
      <w:r w:rsidRPr="0026458A">
        <w:rPr>
          <w:rFonts w:asciiTheme="minorHAnsi" w:hAnsiTheme="minorHAnsi" w:cstheme="minorHAnsi"/>
          <w:sz w:val="22"/>
          <w:szCs w:val="22"/>
        </w:rPr>
        <w:t>2. Progress Reports: Developers are required to submit quarterly progress</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reports detailing the decommissioning activities completed during the</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reporting period. These reports will include summaries of work done, any</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deviations from the plan, reasons for deviations, and updated timelines</w:t>
      </w:r>
      <w:r w:rsidR="00BC4522" w:rsidRPr="00AC1EE2">
        <w:rPr>
          <w:rFonts w:asciiTheme="minorHAnsi" w:hAnsiTheme="minorHAnsi" w:cstheme="minorHAnsi"/>
          <w:sz w:val="22"/>
          <w:szCs w:val="22"/>
        </w:rPr>
        <w:t xml:space="preserve"> </w:t>
      </w:r>
      <w:r w:rsidRPr="0026458A">
        <w:rPr>
          <w:rFonts w:asciiTheme="minorHAnsi" w:hAnsiTheme="minorHAnsi" w:cstheme="minorHAnsi"/>
          <w:sz w:val="22"/>
          <w:szCs w:val="22"/>
        </w:rPr>
        <w:t>for remaining activities. This ensures continuous oversight and</w:t>
      </w:r>
      <w:r w:rsidR="00BC4522" w:rsidRPr="00AC1EE2">
        <w:rPr>
          <w:rFonts w:asciiTheme="minorHAnsi" w:hAnsiTheme="minorHAnsi" w:cstheme="minorHAnsi"/>
          <w:sz w:val="22"/>
          <w:szCs w:val="22"/>
        </w:rPr>
        <w:t xml:space="preserve"> </w:t>
      </w:r>
      <w:r w:rsidRPr="00AC1EE2">
        <w:rPr>
          <w:rFonts w:asciiTheme="minorHAnsi" w:hAnsiTheme="minorHAnsi" w:cstheme="minorHAnsi"/>
          <w:sz w:val="22"/>
          <w:szCs w:val="22"/>
        </w:rPr>
        <w:t>accountability.</w:t>
      </w:r>
    </w:p>
    <w:p w14:paraId="0BE608F7" w14:textId="54E6398F" w:rsidR="003F725C" w:rsidRPr="003F725C" w:rsidRDefault="003F725C" w:rsidP="003F725C">
      <w:pPr>
        <w:rPr>
          <w:rFonts w:asciiTheme="minorHAnsi" w:hAnsiTheme="minorHAnsi" w:cstheme="minorHAnsi"/>
          <w:sz w:val="22"/>
          <w:szCs w:val="22"/>
        </w:rPr>
      </w:pPr>
      <w:r w:rsidRPr="003F725C">
        <w:rPr>
          <w:rFonts w:asciiTheme="minorHAnsi" w:hAnsiTheme="minorHAnsi" w:cstheme="minorHAnsi"/>
          <w:sz w:val="22"/>
          <w:szCs w:val="22"/>
        </w:rPr>
        <w:t>3. Final Report: Upon completion of the decommissioning process,</w:t>
      </w:r>
      <w:r w:rsidRPr="00AC1EE2">
        <w:rPr>
          <w:rFonts w:asciiTheme="minorHAnsi" w:hAnsiTheme="minorHAnsi" w:cstheme="minorHAnsi"/>
          <w:sz w:val="22"/>
          <w:szCs w:val="22"/>
        </w:rPr>
        <w:t xml:space="preserve"> </w:t>
      </w:r>
      <w:r w:rsidRPr="003F725C">
        <w:rPr>
          <w:rFonts w:asciiTheme="minorHAnsi" w:hAnsiTheme="minorHAnsi" w:cstheme="minorHAnsi"/>
          <w:sz w:val="22"/>
          <w:szCs w:val="22"/>
        </w:rPr>
        <w:t xml:space="preserve">developers must submit a </w:t>
      </w:r>
      <w:r w:rsidRPr="00AC1EE2">
        <w:rPr>
          <w:rFonts w:asciiTheme="minorHAnsi" w:hAnsiTheme="minorHAnsi" w:cstheme="minorHAnsi"/>
          <w:sz w:val="22"/>
          <w:szCs w:val="22"/>
        </w:rPr>
        <w:t>c</w:t>
      </w:r>
      <w:r w:rsidRPr="003F725C">
        <w:rPr>
          <w:rFonts w:asciiTheme="minorHAnsi" w:hAnsiTheme="minorHAnsi" w:cstheme="minorHAnsi"/>
          <w:sz w:val="22"/>
          <w:szCs w:val="22"/>
        </w:rPr>
        <w:t>omprehensive final report. This report will</w:t>
      </w:r>
      <w:r w:rsidRPr="00AC1EE2">
        <w:rPr>
          <w:rFonts w:asciiTheme="minorHAnsi" w:hAnsiTheme="minorHAnsi" w:cstheme="minorHAnsi"/>
          <w:sz w:val="22"/>
          <w:szCs w:val="22"/>
        </w:rPr>
        <w:t xml:space="preserve"> </w:t>
      </w:r>
      <w:r w:rsidRPr="003F725C">
        <w:rPr>
          <w:rFonts w:asciiTheme="minorHAnsi" w:hAnsiTheme="minorHAnsi" w:cstheme="minorHAnsi"/>
          <w:sz w:val="22"/>
          <w:szCs w:val="22"/>
        </w:rPr>
        <w:t>include a detailed account of all decommissioning activities,</w:t>
      </w:r>
      <w:r w:rsidRPr="00AC1EE2">
        <w:rPr>
          <w:rFonts w:asciiTheme="minorHAnsi" w:hAnsiTheme="minorHAnsi" w:cstheme="minorHAnsi"/>
          <w:sz w:val="22"/>
          <w:szCs w:val="22"/>
        </w:rPr>
        <w:t xml:space="preserve"> </w:t>
      </w:r>
      <w:r w:rsidRPr="003F725C">
        <w:rPr>
          <w:rFonts w:asciiTheme="minorHAnsi" w:hAnsiTheme="minorHAnsi" w:cstheme="minorHAnsi"/>
          <w:sz w:val="22"/>
          <w:szCs w:val="22"/>
        </w:rPr>
        <w:t>documentation of equipment and hazardous materials removal, evidence</w:t>
      </w:r>
      <w:r w:rsidRPr="00AC1EE2">
        <w:rPr>
          <w:rFonts w:asciiTheme="minorHAnsi" w:hAnsiTheme="minorHAnsi" w:cstheme="minorHAnsi"/>
          <w:sz w:val="22"/>
          <w:szCs w:val="22"/>
        </w:rPr>
        <w:t xml:space="preserve"> </w:t>
      </w:r>
      <w:r w:rsidRPr="003F725C">
        <w:rPr>
          <w:rFonts w:asciiTheme="minorHAnsi" w:hAnsiTheme="minorHAnsi" w:cstheme="minorHAnsi"/>
          <w:sz w:val="22"/>
          <w:szCs w:val="22"/>
        </w:rPr>
        <w:t>of site remediation and restoration, compliance certification, financial</w:t>
      </w:r>
      <w:r w:rsidRPr="00AC1EE2">
        <w:rPr>
          <w:rFonts w:asciiTheme="minorHAnsi" w:hAnsiTheme="minorHAnsi" w:cstheme="minorHAnsi"/>
          <w:sz w:val="22"/>
          <w:szCs w:val="22"/>
        </w:rPr>
        <w:t xml:space="preserve"> </w:t>
      </w:r>
      <w:r w:rsidRPr="003F725C">
        <w:rPr>
          <w:rFonts w:asciiTheme="minorHAnsi" w:hAnsiTheme="minorHAnsi" w:cstheme="minorHAnsi"/>
          <w:sz w:val="22"/>
          <w:szCs w:val="22"/>
        </w:rPr>
        <w:t>summary, and a community impact assessment.</w:t>
      </w:r>
    </w:p>
    <w:p w14:paraId="4DBBCF16" w14:textId="7494D03E" w:rsidR="00C532FB" w:rsidRPr="00C532FB" w:rsidRDefault="003F725C" w:rsidP="00C532FB">
      <w:pPr>
        <w:rPr>
          <w:rFonts w:asciiTheme="minorHAnsi" w:hAnsiTheme="minorHAnsi" w:cstheme="minorHAnsi"/>
          <w:sz w:val="22"/>
          <w:szCs w:val="22"/>
        </w:rPr>
      </w:pPr>
      <w:r w:rsidRPr="003F725C">
        <w:rPr>
          <w:rFonts w:asciiTheme="minorHAnsi" w:hAnsiTheme="minorHAnsi" w:cstheme="minorHAnsi"/>
          <w:sz w:val="22"/>
          <w:szCs w:val="22"/>
        </w:rPr>
        <w:t>4. Documentation and Record-Keeping: Maintaining thorough</w:t>
      </w:r>
      <w:r w:rsidRPr="00AC1EE2">
        <w:rPr>
          <w:rFonts w:asciiTheme="minorHAnsi" w:hAnsiTheme="minorHAnsi" w:cstheme="minorHAnsi"/>
          <w:sz w:val="22"/>
          <w:szCs w:val="22"/>
        </w:rPr>
        <w:t xml:space="preserve"> </w:t>
      </w:r>
      <w:r w:rsidRPr="00AC1EE2">
        <w:rPr>
          <w:rFonts w:asciiTheme="minorHAnsi" w:hAnsiTheme="minorHAnsi" w:cstheme="minorHAnsi"/>
          <w:sz w:val="22"/>
          <w:szCs w:val="22"/>
        </w:rPr>
        <w:t>documentation and records of all decommissioning activities is crucial.</w:t>
      </w:r>
      <w:r w:rsidR="00C532FB" w:rsidRPr="00AC1EE2">
        <w:rPr>
          <w:rFonts w:asciiTheme="minorHAnsi" w:hAnsiTheme="minorHAnsi" w:cstheme="minorHAnsi"/>
          <w:sz w:val="22"/>
          <w:szCs w:val="22"/>
        </w:rPr>
        <w:t xml:space="preserve"> </w:t>
      </w:r>
      <w:r w:rsidR="00C532FB" w:rsidRPr="00AC1EE2">
        <w:rPr>
          <w:rFonts w:asciiTheme="minorHAnsi" w:hAnsiTheme="minorHAnsi" w:cstheme="minorHAnsi"/>
          <w:sz w:val="22"/>
          <w:szCs w:val="22"/>
        </w:rPr>
        <w:t>This includes records of equipment removal, hazardous materials</w:t>
      </w:r>
      <w:r w:rsidR="00C532FB" w:rsidRPr="00AC1EE2">
        <w:rPr>
          <w:rFonts w:asciiTheme="minorHAnsi" w:hAnsiTheme="minorHAnsi" w:cstheme="minorHAnsi"/>
          <w:sz w:val="22"/>
          <w:szCs w:val="22"/>
        </w:rPr>
        <w:t xml:space="preserve"> </w:t>
      </w:r>
      <w:r w:rsidR="00C532FB" w:rsidRPr="00C532FB">
        <w:rPr>
          <w:rFonts w:asciiTheme="minorHAnsi" w:hAnsiTheme="minorHAnsi" w:cstheme="minorHAnsi"/>
          <w:sz w:val="22"/>
          <w:szCs w:val="22"/>
        </w:rPr>
        <w:t>disposal, site remediation efforts, and compliance with data protection</w:t>
      </w:r>
      <w:r w:rsidR="00C532FB" w:rsidRPr="00AC1EE2">
        <w:rPr>
          <w:rFonts w:asciiTheme="minorHAnsi" w:hAnsiTheme="minorHAnsi" w:cstheme="minorHAnsi"/>
          <w:sz w:val="22"/>
          <w:szCs w:val="22"/>
        </w:rPr>
        <w:t xml:space="preserve"> </w:t>
      </w:r>
      <w:r w:rsidR="00C532FB" w:rsidRPr="00C532FB">
        <w:rPr>
          <w:rFonts w:asciiTheme="minorHAnsi" w:hAnsiTheme="minorHAnsi" w:cstheme="minorHAnsi"/>
          <w:sz w:val="22"/>
          <w:szCs w:val="22"/>
        </w:rPr>
        <w:t>regulations. Proper documentation ensures transparency and</w:t>
      </w:r>
      <w:r w:rsidR="00C532FB" w:rsidRPr="00AC1EE2">
        <w:rPr>
          <w:rFonts w:asciiTheme="minorHAnsi" w:hAnsiTheme="minorHAnsi" w:cstheme="minorHAnsi"/>
          <w:sz w:val="22"/>
          <w:szCs w:val="22"/>
        </w:rPr>
        <w:t xml:space="preserve"> </w:t>
      </w:r>
      <w:r w:rsidR="00C532FB" w:rsidRPr="00C532FB">
        <w:rPr>
          <w:rFonts w:asciiTheme="minorHAnsi" w:hAnsiTheme="minorHAnsi" w:cstheme="minorHAnsi"/>
          <w:sz w:val="22"/>
          <w:szCs w:val="22"/>
        </w:rPr>
        <w:t>traceability.</w:t>
      </w:r>
    </w:p>
    <w:p w14:paraId="2778FDDA" w14:textId="70E10382" w:rsidR="00C532FB" w:rsidRPr="00C532FB" w:rsidRDefault="00C532FB" w:rsidP="00C532FB">
      <w:pPr>
        <w:rPr>
          <w:rFonts w:asciiTheme="minorHAnsi" w:hAnsiTheme="minorHAnsi" w:cstheme="minorHAnsi"/>
          <w:sz w:val="22"/>
          <w:szCs w:val="22"/>
        </w:rPr>
      </w:pPr>
      <w:r w:rsidRPr="00C532FB">
        <w:rPr>
          <w:rFonts w:asciiTheme="minorHAnsi" w:hAnsiTheme="minorHAnsi" w:cstheme="minorHAnsi"/>
          <w:sz w:val="22"/>
          <w:szCs w:val="22"/>
        </w:rPr>
        <w:t>5. Third-Party Audits: In some cases, third-party audits may be conducted</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to provide an independent assessment of the decommissioning process.</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These audits can help verify compliance with regulations and industry</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standards, ensuring that all activities are performed responsibly and</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safely.</w:t>
      </w:r>
    </w:p>
    <w:p w14:paraId="67AF4AF7" w14:textId="77777777" w:rsidR="00C532FB" w:rsidRPr="00C532FB" w:rsidRDefault="00C532FB" w:rsidP="00C532FB">
      <w:pPr>
        <w:rPr>
          <w:rFonts w:asciiTheme="minorHAnsi" w:hAnsiTheme="minorHAnsi" w:cstheme="minorHAnsi"/>
          <w:sz w:val="22"/>
          <w:szCs w:val="22"/>
        </w:rPr>
      </w:pPr>
      <w:r w:rsidRPr="00C532FB">
        <w:rPr>
          <w:rFonts w:asciiTheme="minorHAnsi" w:hAnsiTheme="minorHAnsi" w:cstheme="minorHAnsi"/>
          <w:sz w:val="22"/>
          <w:szCs w:val="22"/>
        </w:rPr>
        <w:t>D. Financial Assurance:</w:t>
      </w:r>
    </w:p>
    <w:p w14:paraId="67BF1F1F" w14:textId="3D4E6093" w:rsidR="00C532FB" w:rsidRPr="00C532FB" w:rsidRDefault="00C532FB" w:rsidP="00C532FB">
      <w:pPr>
        <w:rPr>
          <w:rFonts w:asciiTheme="minorHAnsi" w:hAnsiTheme="minorHAnsi" w:cstheme="minorHAnsi"/>
          <w:sz w:val="22"/>
          <w:szCs w:val="22"/>
        </w:rPr>
      </w:pPr>
      <w:r w:rsidRPr="00C532FB">
        <w:rPr>
          <w:rFonts w:asciiTheme="minorHAnsi" w:hAnsiTheme="minorHAnsi" w:cstheme="minorHAnsi"/>
          <w:sz w:val="22"/>
          <w:szCs w:val="22"/>
        </w:rPr>
        <w:t>1. Decommissioning Bond Requirement: Developers must provide a</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decommissioning bond to cover the cost of decommissioning, removal,</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remediation, and mitigation of the property. The bond amount shall be</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adequate to ensure the complete decommissioning of the data warehouse</w:t>
      </w:r>
      <w:r w:rsidRPr="00AC1EE2">
        <w:rPr>
          <w:rFonts w:asciiTheme="minorHAnsi" w:hAnsiTheme="minorHAnsi" w:cstheme="minorHAnsi"/>
          <w:sz w:val="22"/>
          <w:szCs w:val="22"/>
        </w:rPr>
        <w:t xml:space="preserve"> </w:t>
      </w:r>
      <w:r w:rsidRPr="00C532FB">
        <w:rPr>
          <w:rFonts w:asciiTheme="minorHAnsi" w:hAnsiTheme="minorHAnsi" w:cstheme="minorHAnsi"/>
          <w:sz w:val="22"/>
          <w:szCs w:val="22"/>
        </w:rPr>
        <w:t>and restoration of the site.</w:t>
      </w:r>
    </w:p>
    <w:p w14:paraId="6E09897A" w14:textId="130E0573" w:rsidR="00E16F79" w:rsidRPr="00E16F79" w:rsidRDefault="00E16F79" w:rsidP="00E16F79">
      <w:pPr>
        <w:rPr>
          <w:rFonts w:asciiTheme="minorHAnsi" w:hAnsiTheme="minorHAnsi" w:cstheme="minorHAnsi"/>
          <w:sz w:val="22"/>
          <w:szCs w:val="22"/>
        </w:rPr>
      </w:pPr>
      <w:r w:rsidRPr="00E16F79">
        <w:rPr>
          <w:rFonts w:asciiTheme="minorHAnsi" w:hAnsiTheme="minorHAnsi" w:cstheme="minorHAnsi"/>
          <w:sz w:val="22"/>
          <w:szCs w:val="22"/>
        </w:rPr>
        <w:t>2. Bond Amount Determination: The amount of the decommissioning bond</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shall be determined by the Spalding County Board of Commissioners</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based on an estimate provided by a qualified independent engineer. The</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estimate shall include:</w:t>
      </w:r>
    </w:p>
    <w:p w14:paraId="7EEBF5B1" w14:textId="77777777" w:rsidR="00E16F79" w:rsidRPr="00E16F79" w:rsidRDefault="00E16F79" w:rsidP="00E16F79">
      <w:pPr>
        <w:rPr>
          <w:rFonts w:asciiTheme="minorHAnsi" w:hAnsiTheme="minorHAnsi" w:cstheme="minorHAnsi"/>
          <w:sz w:val="22"/>
          <w:szCs w:val="22"/>
        </w:rPr>
      </w:pPr>
      <w:r w:rsidRPr="00E16F79">
        <w:rPr>
          <w:rFonts w:asciiTheme="minorHAnsi" w:hAnsiTheme="minorHAnsi" w:cstheme="minorHAnsi"/>
          <w:sz w:val="22"/>
          <w:szCs w:val="22"/>
        </w:rPr>
        <w:t>• Costs for the removal of all equipment and materials.</w:t>
      </w:r>
    </w:p>
    <w:p w14:paraId="3D3D888D" w14:textId="77777777" w:rsidR="00E16F79" w:rsidRPr="00E16F79" w:rsidRDefault="00E16F79" w:rsidP="00E16F79">
      <w:pPr>
        <w:rPr>
          <w:rFonts w:asciiTheme="minorHAnsi" w:hAnsiTheme="minorHAnsi" w:cstheme="minorHAnsi"/>
          <w:sz w:val="22"/>
          <w:szCs w:val="22"/>
        </w:rPr>
      </w:pPr>
      <w:r w:rsidRPr="00E16F79">
        <w:rPr>
          <w:rFonts w:asciiTheme="minorHAnsi" w:hAnsiTheme="minorHAnsi" w:cstheme="minorHAnsi"/>
          <w:sz w:val="22"/>
          <w:szCs w:val="22"/>
        </w:rPr>
        <w:t>• Costs for the disposal of hazardous materials.</w:t>
      </w:r>
    </w:p>
    <w:p w14:paraId="7E49D87F" w14:textId="7FE227C8" w:rsidR="00E16F79" w:rsidRPr="00E16F79" w:rsidRDefault="00E16F79" w:rsidP="00E16F79">
      <w:pPr>
        <w:rPr>
          <w:rFonts w:asciiTheme="minorHAnsi" w:hAnsiTheme="minorHAnsi" w:cstheme="minorHAnsi"/>
          <w:sz w:val="22"/>
          <w:szCs w:val="22"/>
        </w:rPr>
      </w:pPr>
      <w:r w:rsidRPr="00E16F79">
        <w:rPr>
          <w:rFonts w:asciiTheme="minorHAnsi" w:hAnsiTheme="minorHAnsi" w:cstheme="minorHAnsi"/>
          <w:sz w:val="22"/>
          <w:szCs w:val="22"/>
        </w:rPr>
        <w:t>• Costs for site remediation and mitigation, including soil and</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groundwater testing and cleanup if necessary.</w:t>
      </w:r>
    </w:p>
    <w:p w14:paraId="09CCED76" w14:textId="79D2081F" w:rsidR="00E16F79" w:rsidRPr="00E16F79" w:rsidRDefault="00E16F79" w:rsidP="00E16F79">
      <w:pPr>
        <w:rPr>
          <w:rFonts w:asciiTheme="minorHAnsi" w:hAnsiTheme="minorHAnsi" w:cstheme="minorHAnsi"/>
          <w:sz w:val="22"/>
          <w:szCs w:val="22"/>
        </w:rPr>
      </w:pPr>
      <w:r w:rsidRPr="00E16F79">
        <w:rPr>
          <w:rFonts w:asciiTheme="minorHAnsi" w:hAnsiTheme="minorHAnsi" w:cstheme="minorHAnsi"/>
          <w:sz w:val="22"/>
          <w:szCs w:val="22"/>
        </w:rPr>
        <w:t>• Costs for site restoration, including re-vegetation and any necessary</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landscaping.</w:t>
      </w:r>
    </w:p>
    <w:p w14:paraId="40FC3A38" w14:textId="30877888" w:rsidR="00E16F79" w:rsidRPr="00E16F79" w:rsidRDefault="00E16F79" w:rsidP="00E16F79">
      <w:pPr>
        <w:rPr>
          <w:rFonts w:asciiTheme="minorHAnsi" w:hAnsiTheme="minorHAnsi" w:cstheme="minorHAnsi"/>
          <w:sz w:val="22"/>
          <w:szCs w:val="22"/>
        </w:rPr>
      </w:pPr>
      <w:r w:rsidRPr="00E16F79">
        <w:rPr>
          <w:rFonts w:asciiTheme="minorHAnsi" w:hAnsiTheme="minorHAnsi" w:cstheme="minorHAnsi"/>
          <w:sz w:val="22"/>
          <w:szCs w:val="22"/>
        </w:rPr>
        <w:t>3. Bond Review and Adjustment: The bond amount shall be reviewed and</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adjusted periodically, as determined by the Spalding County Board of</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Commissioners, to ensure it remains adequate to cover the</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decommissioning costs.</w:t>
      </w:r>
    </w:p>
    <w:p w14:paraId="4DA08C80" w14:textId="78E0FB9F" w:rsidR="00BC4522" w:rsidRPr="00AC1EE2" w:rsidRDefault="00E16F79" w:rsidP="00E16F79">
      <w:pPr>
        <w:rPr>
          <w:rFonts w:asciiTheme="minorHAnsi" w:hAnsiTheme="minorHAnsi" w:cstheme="minorHAnsi"/>
          <w:sz w:val="22"/>
          <w:szCs w:val="22"/>
        </w:rPr>
      </w:pPr>
      <w:r w:rsidRPr="00E16F79">
        <w:rPr>
          <w:rFonts w:asciiTheme="minorHAnsi" w:hAnsiTheme="minorHAnsi" w:cstheme="minorHAnsi"/>
          <w:sz w:val="22"/>
          <w:szCs w:val="22"/>
        </w:rPr>
        <w:t>4. Form of Financial Assurance: The financial assurance may be provided</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in the form of a bond, escrow account, letter of credit, or other financial</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 xml:space="preserve">instrument acceptable to the Spalding County Board of </w:t>
      </w:r>
      <w:r w:rsidRPr="00E16F79">
        <w:rPr>
          <w:rFonts w:asciiTheme="minorHAnsi" w:hAnsiTheme="minorHAnsi" w:cstheme="minorHAnsi"/>
          <w:sz w:val="22"/>
          <w:szCs w:val="22"/>
        </w:rPr>
        <w:lastRenderedPageBreak/>
        <w:t>Commissioners.</w:t>
      </w:r>
      <w:r w:rsidRPr="00AC1EE2">
        <w:rPr>
          <w:rFonts w:asciiTheme="minorHAnsi" w:hAnsiTheme="minorHAnsi" w:cstheme="minorHAnsi"/>
          <w:sz w:val="22"/>
          <w:szCs w:val="22"/>
        </w:rPr>
        <w:t xml:space="preserve"> </w:t>
      </w:r>
      <w:r w:rsidRPr="00E16F79">
        <w:rPr>
          <w:rFonts w:asciiTheme="minorHAnsi" w:hAnsiTheme="minorHAnsi" w:cstheme="minorHAnsi"/>
          <w:sz w:val="22"/>
          <w:szCs w:val="22"/>
        </w:rPr>
        <w:t>The form of financial assurance must be sufficient to cover the estimated</w:t>
      </w:r>
      <w:r w:rsidRPr="00AC1EE2">
        <w:rPr>
          <w:rFonts w:asciiTheme="minorHAnsi" w:hAnsiTheme="minorHAnsi" w:cstheme="minorHAnsi"/>
          <w:sz w:val="22"/>
          <w:szCs w:val="22"/>
        </w:rPr>
        <w:t xml:space="preserve"> </w:t>
      </w:r>
      <w:r w:rsidRPr="00AC1EE2">
        <w:rPr>
          <w:rFonts w:asciiTheme="minorHAnsi" w:hAnsiTheme="minorHAnsi" w:cstheme="minorHAnsi"/>
          <w:sz w:val="22"/>
          <w:szCs w:val="22"/>
        </w:rPr>
        <w:t>costs of decommissioning, removal, remediation, and site restoration.</w:t>
      </w:r>
    </w:p>
    <w:p w14:paraId="3D56B7AA" w14:textId="7011E042" w:rsidR="00CB11A3" w:rsidRPr="00CB11A3" w:rsidRDefault="00CB11A3" w:rsidP="00CB11A3">
      <w:pPr>
        <w:rPr>
          <w:rFonts w:asciiTheme="minorHAnsi" w:hAnsiTheme="minorHAnsi" w:cstheme="minorHAnsi"/>
          <w:sz w:val="22"/>
          <w:szCs w:val="22"/>
        </w:rPr>
      </w:pPr>
      <w:r w:rsidRPr="00AC1EE2">
        <w:rPr>
          <w:rFonts w:asciiTheme="minorHAnsi" w:hAnsiTheme="minorHAnsi" w:cstheme="minorHAnsi"/>
          <w:sz w:val="22"/>
          <w:szCs w:val="22"/>
        </w:rPr>
        <w:t xml:space="preserve">5. </w:t>
      </w:r>
      <w:r w:rsidRPr="00CB11A3">
        <w:rPr>
          <w:rFonts w:asciiTheme="minorHAnsi" w:hAnsiTheme="minorHAnsi" w:cstheme="minorHAnsi"/>
          <w:sz w:val="22"/>
          <w:szCs w:val="22"/>
        </w:rPr>
        <w:t>Release of Financial Assurance: The financial assurance shall not be</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released until the Spalding County Community Development Department</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has verified that the decommissioning, removal, remediation, and site</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restoration have been completed in accordance with the approved</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decommissioning plan and all applicable regulations. A final inspection</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and approval by the Spalding County Community Development</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 xml:space="preserve">Department </w:t>
      </w:r>
      <w:proofErr w:type="gramStart"/>
      <w:r w:rsidRPr="00CB11A3">
        <w:rPr>
          <w:rFonts w:asciiTheme="minorHAnsi" w:hAnsiTheme="minorHAnsi" w:cstheme="minorHAnsi"/>
          <w:sz w:val="22"/>
          <w:szCs w:val="22"/>
        </w:rPr>
        <w:t>are</w:t>
      </w:r>
      <w:proofErr w:type="gramEnd"/>
      <w:r w:rsidRPr="00CB11A3">
        <w:rPr>
          <w:rFonts w:asciiTheme="minorHAnsi" w:hAnsiTheme="minorHAnsi" w:cstheme="minorHAnsi"/>
          <w:sz w:val="22"/>
          <w:szCs w:val="22"/>
        </w:rPr>
        <w:t xml:space="preserve"> required before the release of the financial assurance.</w:t>
      </w:r>
    </w:p>
    <w:p w14:paraId="330CA670" w14:textId="74900598" w:rsidR="00CB11A3" w:rsidRPr="00CB11A3" w:rsidRDefault="00CB11A3" w:rsidP="00CB11A3">
      <w:pPr>
        <w:rPr>
          <w:rFonts w:asciiTheme="minorHAnsi" w:hAnsiTheme="minorHAnsi" w:cstheme="minorHAnsi"/>
          <w:sz w:val="22"/>
          <w:szCs w:val="22"/>
        </w:rPr>
      </w:pPr>
      <w:r w:rsidRPr="00CB11A3">
        <w:rPr>
          <w:rFonts w:asciiTheme="minorHAnsi" w:hAnsiTheme="minorHAnsi" w:cstheme="minorHAnsi"/>
          <w:sz w:val="22"/>
          <w:szCs w:val="22"/>
        </w:rPr>
        <w:t xml:space="preserve">6. Use of Financial Assurance: </w:t>
      </w:r>
      <w:proofErr w:type="gramStart"/>
      <w:r w:rsidRPr="00CB11A3">
        <w:rPr>
          <w:rFonts w:asciiTheme="minorHAnsi" w:hAnsiTheme="minorHAnsi" w:cstheme="minorHAnsi"/>
          <w:sz w:val="22"/>
          <w:szCs w:val="22"/>
        </w:rPr>
        <w:t>In the event that</w:t>
      </w:r>
      <w:proofErr w:type="gramEnd"/>
      <w:r w:rsidRPr="00CB11A3">
        <w:rPr>
          <w:rFonts w:asciiTheme="minorHAnsi" w:hAnsiTheme="minorHAnsi" w:cstheme="minorHAnsi"/>
          <w:sz w:val="22"/>
          <w:szCs w:val="22"/>
        </w:rPr>
        <w:t xml:space="preserve"> the developer fails to</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complete the decommissioning, removal, remediation, and site restoration</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as required, the Spalding County Board of Commissioners shall have the</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right to use financial assurance to cover the costs of completing the</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decommissioning process. Any remaining funds after the completion of</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the decommissioning process shall be returned to the developer.</w:t>
      </w:r>
    </w:p>
    <w:p w14:paraId="0759F1BB" w14:textId="77777777" w:rsidR="00CB11A3" w:rsidRPr="00CB11A3" w:rsidRDefault="00CB11A3" w:rsidP="00CB11A3">
      <w:pPr>
        <w:rPr>
          <w:rFonts w:asciiTheme="minorHAnsi" w:hAnsiTheme="minorHAnsi" w:cstheme="minorHAnsi"/>
          <w:sz w:val="22"/>
          <w:szCs w:val="22"/>
        </w:rPr>
      </w:pPr>
      <w:r w:rsidRPr="00CB11A3">
        <w:rPr>
          <w:rFonts w:asciiTheme="minorHAnsi" w:hAnsiTheme="minorHAnsi" w:cstheme="minorHAnsi"/>
          <w:sz w:val="22"/>
          <w:szCs w:val="22"/>
        </w:rPr>
        <w:t>E. Reporting Requirements:</w:t>
      </w:r>
    </w:p>
    <w:p w14:paraId="06E2697C" w14:textId="4F08DB5E" w:rsidR="00CB11A3" w:rsidRPr="00CB11A3" w:rsidRDefault="00CB11A3" w:rsidP="00CB11A3">
      <w:pPr>
        <w:rPr>
          <w:rFonts w:asciiTheme="minorHAnsi" w:hAnsiTheme="minorHAnsi" w:cstheme="minorHAnsi"/>
          <w:sz w:val="22"/>
          <w:szCs w:val="22"/>
        </w:rPr>
      </w:pPr>
      <w:r w:rsidRPr="00CB11A3">
        <w:rPr>
          <w:rFonts w:asciiTheme="minorHAnsi" w:hAnsiTheme="minorHAnsi" w:cstheme="minorHAnsi"/>
          <w:sz w:val="22"/>
          <w:szCs w:val="22"/>
        </w:rPr>
        <w:t>1. Progress Reports: Developers must submit quarterly progress reports to</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the Spalding County Community Development Department during the</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decommissioning process. These reports shall include:</w:t>
      </w:r>
    </w:p>
    <w:p w14:paraId="0168F47E" w14:textId="7A9EADFD" w:rsidR="00CB11A3" w:rsidRPr="00CB11A3" w:rsidRDefault="00CB11A3" w:rsidP="00CB11A3">
      <w:pPr>
        <w:rPr>
          <w:rFonts w:asciiTheme="minorHAnsi" w:hAnsiTheme="minorHAnsi" w:cstheme="minorHAnsi"/>
          <w:sz w:val="22"/>
          <w:szCs w:val="22"/>
        </w:rPr>
      </w:pPr>
      <w:r w:rsidRPr="00CB11A3">
        <w:rPr>
          <w:rFonts w:asciiTheme="minorHAnsi" w:hAnsiTheme="minorHAnsi" w:cstheme="minorHAnsi"/>
          <w:sz w:val="22"/>
          <w:szCs w:val="22"/>
        </w:rPr>
        <w:t>• A summary of decommissioning activities completed during the</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reporting period.</w:t>
      </w:r>
    </w:p>
    <w:p w14:paraId="49056040" w14:textId="0F36F29E" w:rsidR="00CB11A3" w:rsidRPr="00CB11A3" w:rsidRDefault="00CB11A3" w:rsidP="00CB11A3">
      <w:pPr>
        <w:rPr>
          <w:rFonts w:asciiTheme="minorHAnsi" w:hAnsiTheme="minorHAnsi" w:cstheme="minorHAnsi"/>
          <w:sz w:val="22"/>
          <w:szCs w:val="22"/>
        </w:rPr>
      </w:pPr>
      <w:r w:rsidRPr="00CB11A3">
        <w:rPr>
          <w:rFonts w:asciiTheme="minorHAnsi" w:hAnsiTheme="minorHAnsi" w:cstheme="minorHAnsi"/>
          <w:sz w:val="22"/>
          <w:szCs w:val="22"/>
        </w:rPr>
        <w:t>• Any deviations from the approved decommissioning plan and the</w:t>
      </w:r>
      <w:r w:rsidRPr="00AC1EE2">
        <w:rPr>
          <w:rFonts w:asciiTheme="minorHAnsi" w:hAnsiTheme="minorHAnsi" w:cstheme="minorHAnsi"/>
          <w:sz w:val="22"/>
          <w:szCs w:val="22"/>
        </w:rPr>
        <w:t xml:space="preserve"> </w:t>
      </w:r>
      <w:r w:rsidRPr="00CB11A3">
        <w:rPr>
          <w:rFonts w:asciiTheme="minorHAnsi" w:hAnsiTheme="minorHAnsi" w:cstheme="minorHAnsi"/>
          <w:sz w:val="22"/>
          <w:szCs w:val="22"/>
        </w:rPr>
        <w:t>reasons for such deviations.</w:t>
      </w:r>
    </w:p>
    <w:p w14:paraId="31F8DC2C" w14:textId="6E4A5997" w:rsidR="00E16F79" w:rsidRPr="00AC1EE2" w:rsidRDefault="00CB11A3" w:rsidP="00CB11A3">
      <w:pPr>
        <w:rPr>
          <w:rFonts w:asciiTheme="minorHAnsi" w:hAnsiTheme="minorHAnsi" w:cstheme="minorHAnsi"/>
          <w:sz w:val="22"/>
          <w:szCs w:val="22"/>
        </w:rPr>
      </w:pPr>
      <w:r w:rsidRPr="00AC1EE2">
        <w:rPr>
          <w:rFonts w:asciiTheme="minorHAnsi" w:hAnsiTheme="minorHAnsi" w:cstheme="minorHAnsi"/>
          <w:sz w:val="22"/>
          <w:szCs w:val="22"/>
        </w:rPr>
        <w:t>• An updated timeline for the remaining decommissioning activities.</w:t>
      </w:r>
    </w:p>
    <w:p w14:paraId="2CEC4807" w14:textId="28F9CC3C" w:rsidR="00756019" w:rsidRPr="00756019" w:rsidRDefault="00756019" w:rsidP="00756019">
      <w:pPr>
        <w:rPr>
          <w:rFonts w:asciiTheme="minorHAnsi" w:hAnsiTheme="minorHAnsi" w:cstheme="minorHAnsi"/>
          <w:sz w:val="22"/>
          <w:szCs w:val="22"/>
        </w:rPr>
      </w:pPr>
      <w:r w:rsidRPr="00756019">
        <w:rPr>
          <w:rFonts w:asciiTheme="minorHAnsi" w:hAnsiTheme="minorHAnsi" w:cstheme="minorHAnsi"/>
          <w:sz w:val="22"/>
          <w:szCs w:val="22"/>
        </w:rPr>
        <w:t>2. Final Report: Upon completion of the decommissioning process,</w:t>
      </w:r>
      <w:r w:rsidRPr="00AC1EE2">
        <w:rPr>
          <w:rFonts w:asciiTheme="minorHAnsi" w:hAnsiTheme="minorHAnsi" w:cstheme="minorHAnsi"/>
          <w:sz w:val="22"/>
          <w:szCs w:val="22"/>
        </w:rPr>
        <w:t xml:space="preserve"> </w:t>
      </w:r>
      <w:r w:rsidRPr="00756019">
        <w:rPr>
          <w:rFonts w:asciiTheme="minorHAnsi" w:hAnsiTheme="minorHAnsi" w:cstheme="minorHAnsi"/>
          <w:sz w:val="22"/>
          <w:szCs w:val="22"/>
        </w:rPr>
        <w:t>developers must submit a final report to the Spalding County</w:t>
      </w:r>
      <w:r w:rsidRPr="00AC1EE2">
        <w:rPr>
          <w:rFonts w:asciiTheme="minorHAnsi" w:hAnsiTheme="minorHAnsi" w:cstheme="minorHAnsi"/>
          <w:sz w:val="22"/>
          <w:szCs w:val="22"/>
        </w:rPr>
        <w:t xml:space="preserve"> </w:t>
      </w:r>
      <w:r w:rsidRPr="00756019">
        <w:rPr>
          <w:rFonts w:asciiTheme="minorHAnsi" w:hAnsiTheme="minorHAnsi" w:cstheme="minorHAnsi"/>
          <w:sz w:val="22"/>
          <w:szCs w:val="22"/>
        </w:rPr>
        <w:t>Community Development Department. The final report shall include:</w:t>
      </w:r>
    </w:p>
    <w:p w14:paraId="18819867" w14:textId="714ADE4F" w:rsidR="00756019" w:rsidRPr="00756019" w:rsidRDefault="00756019" w:rsidP="00756019">
      <w:pPr>
        <w:rPr>
          <w:rFonts w:asciiTheme="minorHAnsi" w:hAnsiTheme="minorHAnsi" w:cstheme="minorHAnsi"/>
          <w:sz w:val="22"/>
          <w:szCs w:val="22"/>
        </w:rPr>
      </w:pPr>
      <w:r w:rsidRPr="00756019">
        <w:rPr>
          <w:rFonts w:asciiTheme="minorHAnsi" w:hAnsiTheme="minorHAnsi" w:cstheme="minorHAnsi"/>
          <w:sz w:val="22"/>
          <w:szCs w:val="22"/>
        </w:rPr>
        <w:t>• Detailed Account of Decommissioning Activities: A comprehensive</w:t>
      </w:r>
      <w:r w:rsidRPr="00AC1EE2">
        <w:rPr>
          <w:rFonts w:asciiTheme="minorHAnsi" w:hAnsiTheme="minorHAnsi" w:cstheme="minorHAnsi"/>
          <w:sz w:val="22"/>
          <w:szCs w:val="22"/>
        </w:rPr>
        <w:t xml:space="preserve"> </w:t>
      </w:r>
      <w:r w:rsidRPr="00756019">
        <w:rPr>
          <w:rFonts w:asciiTheme="minorHAnsi" w:hAnsiTheme="minorHAnsi" w:cstheme="minorHAnsi"/>
          <w:sz w:val="22"/>
          <w:szCs w:val="22"/>
        </w:rPr>
        <w:t>description of all decommissioning activities performed, including the</w:t>
      </w:r>
      <w:r w:rsidRPr="00AC1EE2">
        <w:rPr>
          <w:rFonts w:asciiTheme="minorHAnsi" w:hAnsiTheme="minorHAnsi" w:cstheme="minorHAnsi"/>
          <w:sz w:val="22"/>
          <w:szCs w:val="22"/>
        </w:rPr>
        <w:t xml:space="preserve"> </w:t>
      </w:r>
      <w:r w:rsidRPr="00756019">
        <w:rPr>
          <w:rFonts w:asciiTheme="minorHAnsi" w:hAnsiTheme="minorHAnsi" w:cstheme="minorHAnsi"/>
          <w:sz w:val="22"/>
          <w:szCs w:val="22"/>
        </w:rPr>
        <w:t>dismantling and removal of equipment,</w:t>
      </w:r>
      <w:r w:rsidRPr="00AC1EE2">
        <w:rPr>
          <w:rFonts w:asciiTheme="minorHAnsi" w:hAnsiTheme="minorHAnsi" w:cstheme="minorHAnsi"/>
          <w:sz w:val="22"/>
          <w:szCs w:val="22"/>
        </w:rPr>
        <w:t xml:space="preserve"> s</w:t>
      </w:r>
      <w:r w:rsidRPr="00756019">
        <w:rPr>
          <w:rFonts w:asciiTheme="minorHAnsi" w:hAnsiTheme="minorHAnsi" w:cstheme="minorHAnsi"/>
          <w:sz w:val="22"/>
          <w:szCs w:val="22"/>
        </w:rPr>
        <w:t>tructures, and materials.</w:t>
      </w:r>
    </w:p>
    <w:p w14:paraId="17CB365E" w14:textId="44E84407" w:rsidR="003F725C" w:rsidRPr="00AC1EE2" w:rsidRDefault="00756019" w:rsidP="00756019">
      <w:pPr>
        <w:rPr>
          <w:rFonts w:asciiTheme="minorHAnsi" w:hAnsiTheme="minorHAnsi" w:cstheme="minorHAnsi"/>
          <w:sz w:val="22"/>
          <w:szCs w:val="22"/>
        </w:rPr>
      </w:pPr>
      <w:r w:rsidRPr="00756019">
        <w:rPr>
          <w:rFonts w:asciiTheme="minorHAnsi" w:hAnsiTheme="minorHAnsi" w:cstheme="minorHAnsi"/>
          <w:sz w:val="22"/>
          <w:szCs w:val="22"/>
        </w:rPr>
        <w:t>• Documentation of Removal and Disposal: Records and receipts</w:t>
      </w:r>
      <w:r w:rsidRPr="00AC1EE2">
        <w:rPr>
          <w:rFonts w:asciiTheme="minorHAnsi" w:hAnsiTheme="minorHAnsi" w:cstheme="minorHAnsi"/>
          <w:sz w:val="22"/>
          <w:szCs w:val="22"/>
        </w:rPr>
        <w:t xml:space="preserve"> </w:t>
      </w:r>
      <w:r w:rsidRPr="00756019">
        <w:rPr>
          <w:rFonts w:asciiTheme="minorHAnsi" w:hAnsiTheme="minorHAnsi" w:cstheme="minorHAnsi"/>
          <w:sz w:val="22"/>
          <w:szCs w:val="22"/>
        </w:rPr>
        <w:t>documenting the removal and proper disposal of all equipment,</w:t>
      </w:r>
      <w:r w:rsidRPr="00AC1EE2">
        <w:rPr>
          <w:rFonts w:asciiTheme="minorHAnsi" w:hAnsiTheme="minorHAnsi" w:cstheme="minorHAnsi"/>
          <w:sz w:val="22"/>
          <w:szCs w:val="22"/>
        </w:rPr>
        <w:t xml:space="preserve"> </w:t>
      </w:r>
      <w:r w:rsidRPr="00756019">
        <w:rPr>
          <w:rFonts w:asciiTheme="minorHAnsi" w:hAnsiTheme="minorHAnsi" w:cstheme="minorHAnsi"/>
          <w:sz w:val="22"/>
          <w:szCs w:val="22"/>
        </w:rPr>
        <w:t>materials, and hazardous substances in accordance with federal, state,</w:t>
      </w:r>
      <w:r w:rsidRPr="00AC1EE2">
        <w:rPr>
          <w:rFonts w:asciiTheme="minorHAnsi" w:hAnsiTheme="minorHAnsi" w:cstheme="minorHAnsi"/>
          <w:sz w:val="22"/>
          <w:szCs w:val="22"/>
        </w:rPr>
        <w:t xml:space="preserve"> </w:t>
      </w:r>
      <w:r w:rsidRPr="00AC1EE2">
        <w:rPr>
          <w:rFonts w:asciiTheme="minorHAnsi" w:hAnsiTheme="minorHAnsi" w:cstheme="minorHAnsi"/>
          <w:sz w:val="22"/>
          <w:szCs w:val="22"/>
        </w:rPr>
        <w:t>and local regulations.</w:t>
      </w:r>
    </w:p>
    <w:p w14:paraId="5960EE81" w14:textId="779BFB94" w:rsidR="006F2C5A" w:rsidRPr="006F2C5A" w:rsidRDefault="006F2C5A" w:rsidP="006F2C5A">
      <w:pPr>
        <w:rPr>
          <w:rFonts w:asciiTheme="minorHAnsi" w:hAnsiTheme="minorHAnsi" w:cstheme="minorHAnsi"/>
          <w:sz w:val="22"/>
          <w:szCs w:val="22"/>
        </w:rPr>
      </w:pPr>
      <w:r w:rsidRPr="006F2C5A">
        <w:rPr>
          <w:rFonts w:asciiTheme="minorHAnsi" w:hAnsiTheme="minorHAnsi" w:cstheme="minorHAnsi"/>
          <w:sz w:val="22"/>
          <w:szCs w:val="22"/>
        </w:rPr>
        <w:t>• Site Remediation and Restoration Evidence: Evidence of site</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remediation and restoration efforts, including soil and groundwater</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testing results, photographs of the site before and afte</w:t>
      </w:r>
      <w:r w:rsidRPr="00AC1EE2">
        <w:rPr>
          <w:rFonts w:asciiTheme="minorHAnsi" w:hAnsiTheme="minorHAnsi" w:cstheme="minorHAnsi"/>
          <w:sz w:val="22"/>
          <w:szCs w:val="22"/>
        </w:rPr>
        <w:t xml:space="preserve">r </w:t>
      </w:r>
      <w:r w:rsidRPr="006F2C5A">
        <w:rPr>
          <w:rFonts w:asciiTheme="minorHAnsi" w:hAnsiTheme="minorHAnsi" w:cstheme="minorHAnsi"/>
          <w:sz w:val="22"/>
          <w:szCs w:val="22"/>
        </w:rPr>
        <w:t>decommissioning, and any necessary environmental cleanup reports.</w:t>
      </w:r>
    </w:p>
    <w:p w14:paraId="3D5F47C5" w14:textId="12C2ABC8" w:rsidR="006F2C5A" w:rsidRPr="006F2C5A" w:rsidRDefault="006F2C5A" w:rsidP="006F2C5A">
      <w:pPr>
        <w:rPr>
          <w:rFonts w:asciiTheme="minorHAnsi" w:hAnsiTheme="minorHAnsi" w:cstheme="minorHAnsi"/>
          <w:sz w:val="22"/>
          <w:szCs w:val="22"/>
        </w:rPr>
      </w:pPr>
      <w:r w:rsidRPr="006F2C5A">
        <w:rPr>
          <w:rFonts w:asciiTheme="minorHAnsi" w:hAnsiTheme="minorHAnsi" w:cstheme="minorHAnsi"/>
          <w:sz w:val="22"/>
          <w:szCs w:val="22"/>
        </w:rPr>
        <w:t>• Compliance Certification: A statement certifying that the</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decommissioning was completed in accordance with the approved</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decommissioning plan and all applicable regulations. This</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certification should be signed by a qualified independent engineer or</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environmental consultant.</w:t>
      </w:r>
    </w:p>
    <w:p w14:paraId="32980366" w14:textId="1D1580E4" w:rsidR="006F2C5A" w:rsidRPr="006F2C5A" w:rsidRDefault="006F2C5A" w:rsidP="006F2C5A">
      <w:pPr>
        <w:rPr>
          <w:rFonts w:asciiTheme="minorHAnsi" w:hAnsiTheme="minorHAnsi" w:cstheme="minorHAnsi"/>
          <w:sz w:val="22"/>
          <w:szCs w:val="22"/>
        </w:rPr>
      </w:pPr>
      <w:r w:rsidRPr="006F2C5A">
        <w:rPr>
          <w:rFonts w:asciiTheme="minorHAnsi" w:hAnsiTheme="minorHAnsi" w:cstheme="minorHAnsi"/>
          <w:sz w:val="22"/>
          <w:szCs w:val="22"/>
        </w:rPr>
        <w:t>• Financial Summary: A financial summary detailing the costs</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incurred during the decommissioning process, including the use of</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decommissioning bond funds.</w:t>
      </w:r>
    </w:p>
    <w:p w14:paraId="446C076F" w14:textId="330E0A10" w:rsidR="006F2C5A" w:rsidRPr="006F2C5A" w:rsidRDefault="006F2C5A" w:rsidP="006F2C5A">
      <w:pPr>
        <w:rPr>
          <w:rFonts w:asciiTheme="minorHAnsi" w:hAnsiTheme="minorHAnsi" w:cstheme="minorHAnsi"/>
          <w:sz w:val="22"/>
          <w:szCs w:val="22"/>
        </w:rPr>
      </w:pPr>
      <w:r w:rsidRPr="006F2C5A">
        <w:rPr>
          <w:rFonts w:asciiTheme="minorHAnsi" w:hAnsiTheme="minorHAnsi" w:cstheme="minorHAnsi"/>
          <w:sz w:val="22"/>
          <w:szCs w:val="22"/>
        </w:rPr>
        <w:t>• Community Impact Assessment: An assessment of the impact of the</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decommissioning on the surrounding community, including any</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measures taken to mitigate negative effects and feedback from</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community stakeholders. This assessment should include:</w:t>
      </w:r>
    </w:p>
    <w:p w14:paraId="31A690CE" w14:textId="600F3721" w:rsidR="006F2C5A" w:rsidRPr="006F2C5A" w:rsidRDefault="006F2C5A" w:rsidP="006F2C5A">
      <w:pPr>
        <w:rPr>
          <w:rFonts w:asciiTheme="minorHAnsi" w:hAnsiTheme="minorHAnsi" w:cstheme="minorHAnsi"/>
          <w:sz w:val="22"/>
          <w:szCs w:val="22"/>
        </w:rPr>
      </w:pPr>
      <w:r w:rsidRPr="006F2C5A">
        <w:rPr>
          <w:rFonts w:asciiTheme="minorHAnsi" w:hAnsiTheme="minorHAnsi" w:cstheme="minorHAnsi"/>
          <w:sz w:val="22"/>
          <w:szCs w:val="22"/>
        </w:rPr>
        <w:t>• Community Engagement: Documentation of any community</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meetings or consultations held during the decommissioning process,</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including feedback received and how it was addressed.</w:t>
      </w:r>
    </w:p>
    <w:p w14:paraId="0CF26160" w14:textId="53660C80" w:rsidR="006F2C5A" w:rsidRPr="006F2C5A" w:rsidRDefault="006F2C5A" w:rsidP="006F2C5A">
      <w:pPr>
        <w:rPr>
          <w:rFonts w:asciiTheme="minorHAnsi" w:hAnsiTheme="minorHAnsi" w:cstheme="minorHAnsi"/>
          <w:sz w:val="22"/>
          <w:szCs w:val="22"/>
        </w:rPr>
      </w:pPr>
      <w:r w:rsidRPr="006F2C5A">
        <w:rPr>
          <w:rFonts w:asciiTheme="minorHAnsi" w:hAnsiTheme="minorHAnsi" w:cstheme="minorHAnsi"/>
          <w:sz w:val="22"/>
          <w:szCs w:val="22"/>
        </w:rPr>
        <w:lastRenderedPageBreak/>
        <w:t>• Mitigation Measures: Details of any measures taken to mitigate</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negative impacts on the community, such as noise reduction, traffic</w:t>
      </w:r>
      <w:r w:rsidRPr="00AC1EE2">
        <w:rPr>
          <w:rFonts w:asciiTheme="minorHAnsi" w:hAnsiTheme="minorHAnsi" w:cstheme="minorHAnsi"/>
          <w:sz w:val="22"/>
          <w:szCs w:val="22"/>
        </w:rPr>
        <w:t xml:space="preserve"> </w:t>
      </w:r>
      <w:r w:rsidRPr="006F2C5A">
        <w:rPr>
          <w:rFonts w:asciiTheme="minorHAnsi" w:hAnsiTheme="minorHAnsi" w:cstheme="minorHAnsi"/>
          <w:sz w:val="22"/>
          <w:szCs w:val="22"/>
        </w:rPr>
        <w:t>management, and dust control.</w:t>
      </w:r>
    </w:p>
    <w:p w14:paraId="1DF5D2C3" w14:textId="125FB313" w:rsidR="00756019" w:rsidRPr="00AC1EE2" w:rsidRDefault="006F2C5A" w:rsidP="006F2C5A">
      <w:pPr>
        <w:rPr>
          <w:rFonts w:asciiTheme="minorHAnsi" w:hAnsiTheme="minorHAnsi" w:cstheme="minorHAnsi"/>
          <w:sz w:val="22"/>
          <w:szCs w:val="22"/>
        </w:rPr>
      </w:pPr>
      <w:r w:rsidRPr="006F2C5A">
        <w:rPr>
          <w:rFonts w:asciiTheme="minorHAnsi" w:hAnsiTheme="minorHAnsi" w:cstheme="minorHAnsi"/>
          <w:sz w:val="22"/>
          <w:szCs w:val="22"/>
        </w:rPr>
        <w:t>• Post-Decommissioning Use: Information on the intended future use</w:t>
      </w:r>
      <w:r w:rsidRPr="00AC1EE2">
        <w:rPr>
          <w:rFonts w:asciiTheme="minorHAnsi" w:hAnsiTheme="minorHAnsi" w:cstheme="minorHAnsi"/>
          <w:sz w:val="22"/>
          <w:szCs w:val="22"/>
        </w:rPr>
        <w:t xml:space="preserve"> </w:t>
      </w:r>
      <w:r w:rsidRPr="00AC1EE2">
        <w:rPr>
          <w:rFonts w:asciiTheme="minorHAnsi" w:hAnsiTheme="minorHAnsi" w:cstheme="minorHAnsi"/>
          <w:sz w:val="22"/>
          <w:szCs w:val="22"/>
        </w:rPr>
        <w:t>of the site and any plans for redevelopment or repurposing.</w:t>
      </w:r>
    </w:p>
    <w:p w14:paraId="0CF78C95" w14:textId="77777777" w:rsidR="00B81814" w:rsidRPr="00B81814" w:rsidRDefault="00B81814" w:rsidP="00B81814">
      <w:pPr>
        <w:rPr>
          <w:rFonts w:asciiTheme="minorHAnsi" w:hAnsiTheme="minorHAnsi" w:cstheme="minorHAnsi"/>
          <w:sz w:val="22"/>
          <w:szCs w:val="22"/>
        </w:rPr>
      </w:pPr>
      <w:r w:rsidRPr="00B81814">
        <w:rPr>
          <w:rFonts w:asciiTheme="minorHAnsi" w:hAnsiTheme="minorHAnsi" w:cstheme="minorHAnsi"/>
          <w:sz w:val="22"/>
          <w:szCs w:val="22"/>
        </w:rPr>
        <w:t>F. Compliance and Enforcement:</w:t>
      </w:r>
    </w:p>
    <w:p w14:paraId="78F31C18" w14:textId="384457D7" w:rsidR="00B81814" w:rsidRPr="00B81814" w:rsidRDefault="00B81814" w:rsidP="00B81814">
      <w:pPr>
        <w:rPr>
          <w:rFonts w:asciiTheme="minorHAnsi" w:hAnsiTheme="minorHAnsi" w:cstheme="minorHAnsi"/>
          <w:sz w:val="22"/>
          <w:szCs w:val="22"/>
        </w:rPr>
      </w:pPr>
      <w:r w:rsidRPr="00B81814">
        <w:rPr>
          <w:rFonts w:asciiTheme="minorHAnsi" w:hAnsiTheme="minorHAnsi" w:cstheme="minorHAnsi"/>
          <w:sz w:val="22"/>
          <w:szCs w:val="22"/>
        </w:rPr>
        <w:t>1. Inspections: The Spalding County Community Development Department</w:t>
      </w:r>
      <w:r w:rsidRPr="00AC1EE2">
        <w:rPr>
          <w:rFonts w:asciiTheme="minorHAnsi" w:hAnsiTheme="minorHAnsi" w:cstheme="minorHAnsi"/>
          <w:sz w:val="22"/>
          <w:szCs w:val="22"/>
        </w:rPr>
        <w:t xml:space="preserve"> </w:t>
      </w:r>
      <w:r w:rsidRPr="00B81814">
        <w:rPr>
          <w:rFonts w:asciiTheme="minorHAnsi" w:hAnsiTheme="minorHAnsi" w:cstheme="minorHAnsi"/>
          <w:sz w:val="22"/>
          <w:szCs w:val="22"/>
        </w:rPr>
        <w:t>shall have the right to inspect the data warehouse site at any time during</w:t>
      </w:r>
      <w:r w:rsidRPr="00AC1EE2">
        <w:rPr>
          <w:rFonts w:asciiTheme="minorHAnsi" w:hAnsiTheme="minorHAnsi" w:cstheme="minorHAnsi"/>
          <w:sz w:val="22"/>
          <w:szCs w:val="22"/>
        </w:rPr>
        <w:t xml:space="preserve"> </w:t>
      </w:r>
      <w:r w:rsidRPr="00B81814">
        <w:rPr>
          <w:rFonts w:asciiTheme="minorHAnsi" w:hAnsiTheme="minorHAnsi" w:cstheme="minorHAnsi"/>
          <w:sz w:val="22"/>
          <w:szCs w:val="22"/>
        </w:rPr>
        <w:t>the decommissioning process to ensure compliance with the approved</w:t>
      </w:r>
      <w:r w:rsidRPr="00AC1EE2">
        <w:rPr>
          <w:rFonts w:asciiTheme="minorHAnsi" w:hAnsiTheme="minorHAnsi" w:cstheme="minorHAnsi"/>
          <w:sz w:val="22"/>
          <w:szCs w:val="22"/>
        </w:rPr>
        <w:t xml:space="preserve"> </w:t>
      </w:r>
      <w:r w:rsidRPr="00B81814">
        <w:rPr>
          <w:rFonts w:asciiTheme="minorHAnsi" w:hAnsiTheme="minorHAnsi" w:cstheme="minorHAnsi"/>
          <w:sz w:val="22"/>
          <w:szCs w:val="22"/>
        </w:rPr>
        <w:t>decommissioning plan and all applicable regulations. Inspections may be</w:t>
      </w:r>
      <w:r w:rsidRPr="00AC1EE2">
        <w:rPr>
          <w:rFonts w:asciiTheme="minorHAnsi" w:hAnsiTheme="minorHAnsi" w:cstheme="minorHAnsi"/>
          <w:sz w:val="22"/>
          <w:szCs w:val="22"/>
        </w:rPr>
        <w:t xml:space="preserve"> </w:t>
      </w:r>
      <w:r w:rsidRPr="00B81814">
        <w:rPr>
          <w:rFonts w:asciiTheme="minorHAnsi" w:hAnsiTheme="minorHAnsi" w:cstheme="minorHAnsi"/>
          <w:sz w:val="22"/>
          <w:szCs w:val="22"/>
        </w:rPr>
        <w:t>scheduled or unscheduled and shall include, but are not limited to, the</w:t>
      </w:r>
      <w:r w:rsidRPr="00AC1EE2">
        <w:rPr>
          <w:rFonts w:asciiTheme="minorHAnsi" w:hAnsiTheme="minorHAnsi" w:cstheme="minorHAnsi"/>
          <w:sz w:val="22"/>
          <w:szCs w:val="22"/>
        </w:rPr>
        <w:t xml:space="preserve"> </w:t>
      </w:r>
      <w:r w:rsidRPr="00B81814">
        <w:rPr>
          <w:rFonts w:asciiTheme="minorHAnsi" w:hAnsiTheme="minorHAnsi" w:cstheme="minorHAnsi"/>
          <w:sz w:val="22"/>
          <w:szCs w:val="22"/>
        </w:rPr>
        <w:t>following:</w:t>
      </w:r>
    </w:p>
    <w:p w14:paraId="0FD8AB3E" w14:textId="7C6A9969" w:rsidR="006F2C5A" w:rsidRPr="00AC1EE2" w:rsidRDefault="00B81814" w:rsidP="00B81814">
      <w:pPr>
        <w:rPr>
          <w:rFonts w:asciiTheme="minorHAnsi" w:hAnsiTheme="minorHAnsi" w:cstheme="minorHAnsi"/>
          <w:sz w:val="22"/>
          <w:szCs w:val="22"/>
        </w:rPr>
      </w:pPr>
      <w:r w:rsidRPr="00B81814">
        <w:rPr>
          <w:rFonts w:asciiTheme="minorHAnsi" w:hAnsiTheme="minorHAnsi" w:cstheme="minorHAnsi"/>
          <w:sz w:val="22"/>
          <w:szCs w:val="22"/>
        </w:rPr>
        <w:t>• Initial Inspection: An initial inspection to verify that the</w:t>
      </w:r>
      <w:r w:rsidRPr="00AC1EE2">
        <w:rPr>
          <w:rFonts w:asciiTheme="minorHAnsi" w:hAnsiTheme="minorHAnsi" w:cstheme="minorHAnsi"/>
          <w:sz w:val="22"/>
          <w:szCs w:val="22"/>
        </w:rPr>
        <w:t xml:space="preserve"> </w:t>
      </w:r>
      <w:r w:rsidRPr="00B81814">
        <w:rPr>
          <w:rFonts w:asciiTheme="minorHAnsi" w:hAnsiTheme="minorHAnsi" w:cstheme="minorHAnsi"/>
          <w:sz w:val="22"/>
          <w:szCs w:val="22"/>
        </w:rPr>
        <w:t>decommissioning plan is being followed and that all necessary</w:t>
      </w:r>
      <w:r w:rsidRPr="00AC1EE2">
        <w:rPr>
          <w:rFonts w:asciiTheme="minorHAnsi" w:hAnsiTheme="minorHAnsi" w:cstheme="minorHAnsi"/>
          <w:sz w:val="22"/>
          <w:szCs w:val="22"/>
        </w:rPr>
        <w:t xml:space="preserve"> </w:t>
      </w:r>
      <w:r w:rsidRPr="00AC1EE2">
        <w:rPr>
          <w:rFonts w:asciiTheme="minorHAnsi" w:hAnsiTheme="minorHAnsi" w:cstheme="minorHAnsi"/>
          <w:sz w:val="22"/>
          <w:szCs w:val="22"/>
        </w:rPr>
        <w:t>preparations have been made.</w:t>
      </w:r>
    </w:p>
    <w:p w14:paraId="6BAC8EA9" w14:textId="5D93043D" w:rsidR="008A5654" w:rsidRPr="008A5654" w:rsidRDefault="008A5654" w:rsidP="008A5654">
      <w:pPr>
        <w:rPr>
          <w:rFonts w:asciiTheme="minorHAnsi" w:hAnsiTheme="minorHAnsi" w:cstheme="minorHAnsi"/>
          <w:sz w:val="22"/>
          <w:szCs w:val="22"/>
        </w:rPr>
      </w:pPr>
      <w:r w:rsidRPr="008A5654">
        <w:rPr>
          <w:rFonts w:asciiTheme="minorHAnsi" w:hAnsiTheme="minorHAnsi" w:cstheme="minorHAnsi"/>
          <w:sz w:val="22"/>
          <w:szCs w:val="22"/>
        </w:rPr>
        <w:t>• Periodic Inspections: Regular inspections throughout th</w:t>
      </w:r>
      <w:r w:rsidRPr="00AC1EE2">
        <w:rPr>
          <w:rFonts w:asciiTheme="minorHAnsi" w:hAnsiTheme="minorHAnsi" w:cstheme="minorHAnsi"/>
          <w:sz w:val="22"/>
          <w:szCs w:val="22"/>
        </w:rPr>
        <w:t xml:space="preserve">e </w:t>
      </w:r>
      <w:r w:rsidRPr="008A5654">
        <w:rPr>
          <w:rFonts w:asciiTheme="minorHAnsi" w:hAnsiTheme="minorHAnsi" w:cstheme="minorHAnsi"/>
          <w:sz w:val="22"/>
          <w:szCs w:val="22"/>
        </w:rPr>
        <w:t>decommissioning process to monitor progress and ensure ongoing</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compliance with the decommissioning plan.</w:t>
      </w:r>
    </w:p>
    <w:p w14:paraId="62F3A52F" w14:textId="7AE89A70" w:rsidR="008A5654" w:rsidRPr="008A5654" w:rsidRDefault="008A5654" w:rsidP="008A5654">
      <w:pPr>
        <w:rPr>
          <w:rFonts w:asciiTheme="minorHAnsi" w:hAnsiTheme="minorHAnsi" w:cstheme="minorHAnsi"/>
          <w:sz w:val="22"/>
          <w:szCs w:val="22"/>
        </w:rPr>
      </w:pPr>
      <w:r w:rsidRPr="008A5654">
        <w:rPr>
          <w:rFonts w:asciiTheme="minorHAnsi" w:hAnsiTheme="minorHAnsi" w:cstheme="minorHAnsi"/>
          <w:sz w:val="22"/>
          <w:szCs w:val="22"/>
        </w:rPr>
        <w:t>• Final Inspection: A final inspection upon completion of the</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decommissioning process to verify that all activities have been carried</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out in accordance with the approved plan and that the site has been</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properly restored.</w:t>
      </w:r>
    </w:p>
    <w:p w14:paraId="736EF0F6" w14:textId="0C16208F" w:rsidR="008A5654" w:rsidRPr="008A5654" w:rsidRDefault="008A5654" w:rsidP="008A5654">
      <w:pPr>
        <w:rPr>
          <w:rFonts w:asciiTheme="minorHAnsi" w:hAnsiTheme="minorHAnsi" w:cstheme="minorHAnsi"/>
          <w:sz w:val="22"/>
          <w:szCs w:val="22"/>
        </w:rPr>
      </w:pPr>
      <w:r w:rsidRPr="008A5654">
        <w:rPr>
          <w:rFonts w:asciiTheme="minorHAnsi" w:hAnsiTheme="minorHAnsi" w:cstheme="minorHAnsi"/>
          <w:sz w:val="22"/>
          <w:szCs w:val="22"/>
        </w:rPr>
        <w:t>2. Penalties: Failure to comply with the decommissioning requirements may</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result in penalties, including fines and revocation of permits. Specific</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penalties may include:</w:t>
      </w:r>
    </w:p>
    <w:p w14:paraId="3C5B5C1F" w14:textId="7CF57ABB" w:rsidR="008A5654" w:rsidRPr="008A5654" w:rsidRDefault="008A5654" w:rsidP="008A5654">
      <w:pPr>
        <w:rPr>
          <w:rFonts w:asciiTheme="minorHAnsi" w:hAnsiTheme="minorHAnsi" w:cstheme="minorHAnsi"/>
          <w:sz w:val="22"/>
          <w:szCs w:val="22"/>
        </w:rPr>
      </w:pPr>
      <w:r w:rsidRPr="008A5654">
        <w:rPr>
          <w:rFonts w:asciiTheme="minorHAnsi" w:hAnsiTheme="minorHAnsi" w:cstheme="minorHAnsi"/>
          <w:sz w:val="22"/>
          <w:szCs w:val="22"/>
        </w:rPr>
        <w:t>• Fines: Monetary fines imposed for each day of non-compliance or</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for specific violations of the decommissioning plan or applicable</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regulations.</w:t>
      </w:r>
    </w:p>
    <w:p w14:paraId="33FFE450" w14:textId="79F6A3DC" w:rsidR="008A5654" w:rsidRPr="008A5654" w:rsidRDefault="008A5654" w:rsidP="008A5654">
      <w:pPr>
        <w:rPr>
          <w:rFonts w:asciiTheme="minorHAnsi" w:hAnsiTheme="minorHAnsi" w:cstheme="minorHAnsi"/>
          <w:sz w:val="22"/>
          <w:szCs w:val="22"/>
        </w:rPr>
      </w:pPr>
      <w:r w:rsidRPr="008A5654">
        <w:rPr>
          <w:rFonts w:asciiTheme="minorHAnsi" w:hAnsiTheme="minorHAnsi" w:cstheme="minorHAnsi"/>
          <w:sz w:val="22"/>
          <w:szCs w:val="22"/>
        </w:rPr>
        <w:t>• Permit Revocation: Revocation of permits issued for the data</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warehouse, which may result in the cessation of all decommissioning</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activities until compliance is achieved.</w:t>
      </w:r>
    </w:p>
    <w:p w14:paraId="4DC94EAC" w14:textId="7E7267AA" w:rsidR="008A5654" w:rsidRPr="008A5654" w:rsidRDefault="008A5654" w:rsidP="008A5654">
      <w:pPr>
        <w:rPr>
          <w:rFonts w:asciiTheme="minorHAnsi" w:hAnsiTheme="minorHAnsi" w:cstheme="minorHAnsi"/>
          <w:sz w:val="22"/>
          <w:szCs w:val="22"/>
        </w:rPr>
      </w:pPr>
      <w:r w:rsidRPr="008A5654">
        <w:rPr>
          <w:rFonts w:asciiTheme="minorHAnsi" w:hAnsiTheme="minorHAnsi" w:cstheme="minorHAnsi"/>
          <w:sz w:val="22"/>
          <w:szCs w:val="22"/>
        </w:rPr>
        <w:t>• Legal Action: The Spalding County Board of Commissioners may</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pursue legal action to enforce compliance with the decommissioning</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requirements, including seeking court orders to compel compliance or</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recover costs incurred by the county in completing the</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decommissioning process.</w:t>
      </w:r>
    </w:p>
    <w:p w14:paraId="73105BCA" w14:textId="616E95A8" w:rsidR="008A5654" w:rsidRDefault="008A5654" w:rsidP="008A5654">
      <w:pPr>
        <w:rPr>
          <w:rFonts w:asciiTheme="minorHAnsi" w:hAnsiTheme="minorHAnsi" w:cstheme="minorHAnsi"/>
          <w:sz w:val="22"/>
          <w:szCs w:val="22"/>
        </w:rPr>
      </w:pPr>
      <w:r w:rsidRPr="008A5654">
        <w:rPr>
          <w:rFonts w:asciiTheme="minorHAnsi" w:hAnsiTheme="minorHAnsi" w:cstheme="minorHAnsi"/>
          <w:sz w:val="22"/>
          <w:szCs w:val="22"/>
        </w:rPr>
        <w:t xml:space="preserve">• Bond Call Penalty: </w:t>
      </w:r>
      <w:proofErr w:type="gramStart"/>
      <w:r w:rsidRPr="008A5654">
        <w:rPr>
          <w:rFonts w:asciiTheme="minorHAnsi" w:hAnsiTheme="minorHAnsi" w:cstheme="minorHAnsi"/>
          <w:sz w:val="22"/>
          <w:szCs w:val="22"/>
        </w:rPr>
        <w:t>In the event that</w:t>
      </w:r>
      <w:proofErr w:type="gramEnd"/>
      <w:r w:rsidRPr="008A5654">
        <w:rPr>
          <w:rFonts w:asciiTheme="minorHAnsi" w:hAnsiTheme="minorHAnsi" w:cstheme="minorHAnsi"/>
          <w:sz w:val="22"/>
          <w:szCs w:val="22"/>
        </w:rPr>
        <w:t xml:space="preserve"> the Spalding County Board of</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Commissioners is required to call the decommissioning bond to</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complete the work, the developer shall be liable for an additional</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penalty. This penalty shall be equal to 10% of the bond amount and</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shall be used to cover administrative costs and any additional</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expenses incurred by the county in managing the decommissioning</w:t>
      </w:r>
      <w:r w:rsidRPr="00AC1EE2">
        <w:rPr>
          <w:rFonts w:asciiTheme="minorHAnsi" w:hAnsiTheme="minorHAnsi" w:cstheme="minorHAnsi"/>
          <w:sz w:val="22"/>
          <w:szCs w:val="22"/>
        </w:rPr>
        <w:t xml:space="preserve"> </w:t>
      </w:r>
      <w:r w:rsidRPr="008A5654">
        <w:rPr>
          <w:rFonts w:asciiTheme="minorHAnsi" w:hAnsiTheme="minorHAnsi" w:cstheme="minorHAnsi"/>
          <w:sz w:val="22"/>
          <w:szCs w:val="22"/>
        </w:rPr>
        <w:t>process.</w:t>
      </w:r>
    </w:p>
    <w:sectPr w:rsidR="008A5654">
      <w:headerReference w:type="default" r:id="rId23"/>
      <w:footerReference w:type="default" r:id="rId2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D882" w14:textId="77777777" w:rsidR="00A1713F" w:rsidRDefault="00A1713F">
      <w:pPr>
        <w:spacing w:before="0" w:after="0"/>
      </w:pPr>
      <w:r>
        <w:separator/>
      </w:r>
    </w:p>
  </w:endnote>
  <w:endnote w:type="continuationSeparator" w:id="0">
    <w:p w14:paraId="2C59704F" w14:textId="77777777" w:rsidR="00A1713F" w:rsidRDefault="00A171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E9CA" w14:textId="6FAC0AA5" w:rsidR="006A15D6" w:rsidRDefault="00EC5F89">
    <w:pPr>
      <w:pStyle w:val="FooterCenter"/>
    </w:pPr>
    <w:r>
      <w:t xml:space="preserve">Page </w:t>
    </w:r>
    <w:r>
      <w:fldChar w:fldCharType="begin"/>
    </w:r>
    <w:r>
      <w:instrText>PAGE \* MERGEFORMAT</w:instrText>
    </w:r>
    <w:r>
      <w:fldChar w:fldCharType="separate"/>
    </w:r>
    <w:r w:rsidR="008D3EF0">
      <w:rPr>
        <w:noProof/>
      </w:rPr>
      <w:t>1</w:t>
    </w:r>
    <w:r>
      <w:fldChar w:fldCharType="end"/>
    </w:r>
    <w:r>
      <w:t xml:space="preserve"> of </w:t>
    </w:r>
    <w:fldSimple w:instr="NUMPAGES \* MERGEFORMAT">
      <w:r w:rsidR="008D3EF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71B6" w14:textId="77777777" w:rsidR="006A15D6" w:rsidRDefault="006A15D6">
    <w:pPr>
      <w:pStyle w:val="FooterCenter"/>
      <w:pBdr>
        <w:bottom w:val="single" w:sz="4" w:space="0" w:color="auto"/>
      </w:pBdr>
    </w:pPr>
  </w:p>
  <w:p w14:paraId="6BBB447B" w14:textId="77777777" w:rsidR="006A15D6" w:rsidRDefault="00EC5F89">
    <w:pPr>
      <w:pStyle w:val="FooterLeft"/>
    </w:pPr>
    <w:r>
      <w:tab/>
    </w:r>
    <w:r>
      <w:rPr>
        <w:rFonts w:ascii="Consolas" w:eastAsia="Consolas" w:hAnsi="Consolas" w:cs="Consolas"/>
        <w:sz w:val="12"/>
      </w:rPr>
      <w:t xml:space="preserve">   Created: 2025-05-06 11:00:15 [EST]</w:t>
    </w:r>
  </w:p>
  <w:p w14:paraId="0A3F1C25" w14:textId="77777777" w:rsidR="006A15D6" w:rsidRDefault="00EC5F89">
    <w:pPr>
      <w:pStyle w:val="FooterLeft"/>
    </w:pPr>
    <w:r>
      <w:t>(Supp. No. 36)</w:t>
    </w:r>
  </w:p>
  <w:p w14:paraId="32277BDA" w14:textId="77777777" w:rsidR="006A15D6" w:rsidRDefault="00EC5F89">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956A" w14:textId="77777777" w:rsidR="006A15D6" w:rsidRDefault="006A15D6">
    <w:pPr>
      <w:pStyle w:val="FooterCenter"/>
      <w:pBdr>
        <w:bottom w:val="single" w:sz="4" w:space="0" w:color="auto"/>
      </w:pBdr>
    </w:pPr>
  </w:p>
  <w:p w14:paraId="10F40C1B" w14:textId="77777777" w:rsidR="006A15D6" w:rsidRDefault="00EC5F89">
    <w:pPr>
      <w:pStyle w:val="FooterLeft"/>
    </w:pPr>
    <w:r>
      <w:tab/>
    </w:r>
    <w:r>
      <w:rPr>
        <w:rFonts w:ascii="Consolas" w:eastAsia="Consolas" w:hAnsi="Consolas" w:cs="Consolas"/>
        <w:sz w:val="12"/>
      </w:rPr>
      <w:t xml:space="preserve">   Created: 2025-05-06 11:00:15 [EST]</w:t>
    </w:r>
  </w:p>
  <w:p w14:paraId="7D812060" w14:textId="77777777" w:rsidR="006A15D6" w:rsidRDefault="00EC5F89">
    <w:pPr>
      <w:pStyle w:val="FooterLeft"/>
    </w:pPr>
    <w:r>
      <w:t>(Supp. No. 36)</w:t>
    </w:r>
  </w:p>
  <w:p w14:paraId="5DC40865" w14:textId="77777777" w:rsidR="006A15D6" w:rsidRDefault="00EC5F89">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90AD" w14:textId="77777777" w:rsidR="006A15D6" w:rsidRDefault="006A15D6">
    <w:pPr>
      <w:pStyle w:val="FooterCenter"/>
      <w:pBdr>
        <w:bottom w:val="single" w:sz="4" w:space="0" w:color="auto"/>
      </w:pBdr>
    </w:pPr>
  </w:p>
  <w:p w14:paraId="70113495" w14:textId="77777777" w:rsidR="006A15D6" w:rsidRDefault="00EC5F89">
    <w:pPr>
      <w:pStyle w:val="FooterLeft"/>
    </w:pPr>
    <w:r>
      <w:tab/>
    </w:r>
    <w:r>
      <w:rPr>
        <w:rFonts w:ascii="Consolas" w:eastAsia="Consolas" w:hAnsi="Consolas" w:cs="Consolas"/>
        <w:sz w:val="12"/>
      </w:rPr>
      <w:t xml:space="preserve">   Created: 2025-05-06 11:00:15 [EST]</w:t>
    </w:r>
  </w:p>
  <w:p w14:paraId="5F1B1C02" w14:textId="77777777" w:rsidR="006A15D6" w:rsidRDefault="00EC5F89">
    <w:pPr>
      <w:pStyle w:val="FooterLeft"/>
    </w:pPr>
    <w:r>
      <w:t>(Supp. No. 36)</w:t>
    </w:r>
  </w:p>
  <w:p w14:paraId="2E0E5783" w14:textId="09022922" w:rsidR="006A15D6" w:rsidRDefault="00EC5F89">
    <w:pPr>
      <w:pStyle w:val="FooterCenter"/>
    </w:pPr>
    <w:r>
      <w:cr/>
      <w:t xml:space="preserve">Page </w:t>
    </w:r>
    <w:r>
      <w:fldChar w:fldCharType="begin"/>
    </w:r>
    <w:r>
      <w:instrText>PAGE \* MERGEFORMAT</w:instrText>
    </w:r>
    <w:r>
      <w:fldChar w:fldCharType="separate"/>
    </w:r>
    <w:r w:rsidR="00BA39E9">
      <w:rPr>
        <w:noProof/>
      </w:rPr>
      <w:t>2</w:t>
    </w:r>
    <w:r>
      <w:fldChar w:fldCharType="end"/>
    </w:r>
    <w:r>
      <w:t xml:space="preserve"> of </w:t>
    </w:r>
    <w:fldSimple w:instr="NUMPAGES \* MERGEFORMAT">
      <w:r w:rsidR="00BA39E9">
        <w:rPr>
          <w:noProof/>
        </w:rPr>
        <w:t>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A7DB" w14:textId="77777777" w:rsidR="00694F0D" w:rsidRDefault="00694F0D">
    <w:pPr>
      <w:pStyle w:val="FooterCenter"/>
    </w:pPr>
    <w:r>
      <w:t xml:space="preserve">Page </w:t>
    </w:r>
    <w:r>
      <w:fldChar w:fldCharType="begin"/>
    </w:r>
    <w:r>
      <w:instrText>PAGE \* MERGEFORMAT</w:instrText>
    </w:r>
    <w:r>
      <w:fldChar w:fldCharType="separate"/>
    </w:r>
    <w:r>
      <w:rPr>
        <w:noProof/>
      </w:rPr>
      <w:t>3</w:t>
    </w:r>
    <w:r>
      <w:fldChar w:fldCharType="end"/>
    </w:r>
    <w:r>
      <w:t xml:space="preserve"> of </w:t>
    </w:r>
    <w:fldSimple w:instr="NUMPAGES \* MERGEFORMAT">
      <w:r>
        <w:rPr>
          <w:noProof/>
        </w:rPr>
        <w:t>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D95E" w14:textId="77777777" w:rsidR="006A15D6" w:rsidRDefault="006A15D6">
    <w:pPr>
      <w:pStyle w:val="FooterCenter"/>
      <w:pBdr>
        <w:bottom w:val="single" w:sz="4" w:space="0" w:color="auto"/>
      </w:pBdr>
    </w:pPr>
  </w:p>
  <w:p w14:paraId="19DFED9A" w14:textId="77777777" w:rsidR="006A15D6" w:rsidRDefault="00EC5F89">
    <w:pPr>
      <w:pStyle w:val="FooterLeft"/>
    </w:pPr>
    <w:r>
      <w:tab/>
    </w:r>
    <w:r>
      <w:rPr>
        <w:rFonts w:ascii="Consolas" w:eastAsia="Consolas" w:hAnsi="Consolas" w:cs="Consolas"/>
        <w:sz w:val="12"/>
      </w:rPr>
      <w:t xml:space="preserve">   Created: 2025-05-06 11:00:15 [EST]</w:t>
    </w:r>
  </w:p>
  <w:p w14:paraId="3EAAE990" w14:textId="77777777" w:rsidR="006A15D6" w:rsidRDefault="00EC5F89">
    <w:pPr>
      <w:pStyle w:val="FooterLeft"/>
    </w:pPr>
    <w:r>
      <w:t>(Supp. No. 36)</w:t>
    </w:r>
  </w:p>
  <w:p w14:paraId="3DCF1121" w14:textId="7C50321A" w:rsidR="006A15D6" w:rsidRDefault="00EC5F89">
    <w:pPr>
      <w:pStyle w:val="FooterCenter"/>
    </w:pPr>
    <w:r>
      <w:cr/>
      <w:t xml:space="preserve">Page </w:t>
    </w:r>
    <w:r>
      <w:fldChar w:fldCharType="begin"/>
    </w:r>
    <w:r>
      <w:instrText>PAGE \* MERGEFORMAT</w:instrText>
    </w:r>
    <w:r>
      <w:fldChar w:fldCharType="separate"/>
    </w:r>
    <w:r w:rsidR="007F593A">
      <w:rPr>
        <w:noProof/>
      </w:rPr>
      <w:t>3</w:t>
    </w:r>
    <w:r>
      <w:fldChar w:fldCharType="end"/>
    </w:r>
    <w:r>
      <w:t xml:space="preserve"> of </w:t>
    </w:r>
    <w:fldSimple w:instr="NUMPAGES \* MERGEFORMAT">
      <w:r w:rsidR="007F593A">
        <w:rPr>
          <w:noProof/>
        </w:rPr>
        <w:t>11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3B27" w14:textId="60897D58" w:rsidR="006A15D6" w:rsidRDefault="00EC5F89">
    <w:pPr>
      <w:pStyle w:val="FooterCenter"/>
    </w:pPr>
    <w:r>
      <w:cr/>
      <w:t xml:space="preserve">Page </w:t>
    </w:r>
    <w:r>
      <w:fldChar w:fldCharType="begin"/>
    </w:r>
    <w:r>
      <w:instrText>PAGE \* MERGEFORMAT</w:instrText>
    </w:r>
    <w:r>
      <w:fldChar w:fldCharType="separate"/>
    </w:r>
    <w:r w:rsidR="008D3EF0">
      <w:rPr>
        <w:noProof/>
      </w:rPr>
      <w:t>5</w:t>
    </w:r>
    <w:r>
      <w:fldChar w:fldCharType="end"/>
    </w:r>
    <w:r>
      <w:t xml:space="preserve"> of </w:t>
    </w:r>
    <w:fldSimple w:instr="NUMPAGES \* MERGEFORMAT">
      <w:r w:rsidR="008D3EF0">
        <w:rPr>
          <w:noProof/>
        </w:rPr>
        <w:t>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96B6" w14:textId="1FE3F26A" w:rsidR="006A15D6" w:rsidRDefault="00EC5F89">
    <w:pPr>
      <w:pStyle w:val="FooterCenter"/>
    </w:pPr>
    <w:r>
      <w:t xml:space="preserve">Page </w:t>
    </w:r>
    <w:r>
      <w:fldChar w:fldCharType="begin"/>
    </w:r>
    <w:r>
      <w:instrText>PAGE \* MERGEFORMAT</w:instrText>
    </w:r>
    <w:r>
      <w:fldChar w:fldCharType="separate"/>
    </w:r>
    <w:r w:rsidR="008D3EF0">
      <w:rPr>
        <w:noProof/>
      </w:rPr>
      <w:t>9</w:t>
    </w:r>
    <w:r>
      <w:fldChar w:fldCharType="end"/>
    </w:r>
    <w:r>
      <w:t xml:space="preserve"> of </w:t>
    </w:r>
    <w:fldSimple w:instr="NUMPAGES \* MERGEFORMAT">
      <w:r w:rsidR="008D3EF0">
        <w:rPr>
          <w:noProof/>
        </w:rPr>
        <w:t>10</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326A" w14:textId="77777777" w:rsidR="006A15D6" w:rsidRDefault="006A15D6">
    <w:pPr>
      <w:pStyle w:val="FooterCenter"/>
      <w:pBdr>
        <w:bottom w:val="single" w:sz="4" w:space="0" w:color="auto"/>
      </w:pBdr>
    </w:pPr>
  </w:p>
  <w:p w14:paraId="5897CDB2" w14:textId="77777777" w:rsidR="006A15D6" w:rsidRDefault="00EC5F89">
    <w:pPr>
      <w:pStyle w:val="FooterLeft"/>
    </w:pPr>
    <w:r>
      <w:tab/>
    </w:r>
    <w:r>
      <w:rPr>
        <w:rFonts w:ascii="Consolas" w:eastAsia="Consolas" w:hAnsi="Consolas" w:cs="Consolas"/>
        <w:sz w:val="12"/>
      </w:rPr>
      <w:t xml:space="preserve">   Created: 2025-05-06 11:00:15 [EST]</w:t>
    </w:r>
  </w:p>
  <w:p w14:paraId="52BB008D" w14:textId="77777777" w:rsidR="006A15D6" w:rsidRDefault="00EC5F89">
    <w:pPr>
      <w:pStyle w:val="FooterLeft"/>
    </w:pPr>
    <w:r>
      <w:t>(Supp. No. 36)</w:t>
    </w:r>
  </w:p>
  <w:p w14:paraId="6B1107B9" w14:textId="6C3BB52F" w:rsidR="006A15D6" w:rsidRDefault="00EC5F89">
    <w:pPr>
      <w:pStyle w:val="FooterCenter"/>
    </w:pPr>
    <w:r>
      <w:cr/>
      <w:t xml:space="preserve">Page </w:t>
    </w:r>
    <w:r>
      <w:fldChar w:fldCharType="begin"/>
    </w:r>
    <w:r>
      <w:instrText>PAGE \* MERGEFORMAT</w:instrText>
    </w:r>
    <w:r>
      <w:fldChar w:fldCharType="separate"/>
    </w:r>
    <w:r w:rsidR="00AF3665">
      <w:rPr>
        <w:noProof/>
      </w:rPr>
      <w:t>10</w:t>
    </w:r>
    <w:r>
      <w:fldChar w:fldCharType="end"/>
    </w:r>
    <w:r>
      <w:t xml:space="preserve"> of </w:t>
    </w:r>
    <w:fldSimple w:instr="NUMPAGES \* MERGEFORMAT">
      <w:r w:rsidR="00AF3665">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80B6" w14:textId="77777777" w:rsidR="00A1713F" w:rsidRDefault="00A1713F">
      <w:pPr>
        <w:spacing w:before="0" w:after="0"/>
      </w:pPr>
      <w:r>
        <w:separator/>
      </w:r>
    </w:p>
  </w:footnote>
  <w:footnote w:type="continuationSeparator" w:id="0">
    <w:p w14:paraId="404969CB" w14:textId="77777777" w:rsidR="00A1713F" w:rsidRDefault="00A1713F">
      <w:pPr>
        <w:spacing w:before="0" w:after="0"/>
      </w:pPr>
      <w:r>
        <w:continuationSeparator/>
      </w:r>
    </w:p>
  </w:footnote>
  <w:footnote w:id="1">
    <w:p w14:paraId="7606A032" w14:textId="6449FC60" w:rsidR="00060B45" w:rsidRDefault="00060B45">
      <w:pPr>
        <w:pStyle w:val="FootnoteText"/>
      </w:pPr>
      <w:r>
        <w:rPr>
          <w:rStyle w:val="FootnoteReference"/>
        </w:rPr>
        <w:footnoteRef/>
      </w:r>
      <w:r>
        <w:t xml:space="preserve"> </w:t>
      </w:r>
      <w:hyperlink r:id="rId1" w:history="1">
        <w:r w:rsidRPr="00060B45">
          <w:rPr>
            <w:rStyle w:val="Hyperlink"/>
          </w:rPr>
          <w:t>d3n9y02raazwpg.cloudfront.net/spaldingcounty/60edb0c9-c4ad-11f0-a7da-005056a89546-77d9b40e-9436-4527-a290-67656428380e-1763994731.pdf</w:t>
        </w:r>
      </w:hyperlink>
      <w:r>
        <w:t xml:space="preserve"> </w:t>
      </w:r>
      <w:r w:rsidR="005304A3">
        <w:t>–</w:t>
      </w:r>
      <w:r>
        <w:t xml:space="preserve"> </w:t>
      </w:r>
      <w:r w:rsidR="005304A3">
        <w:t xml:space="preserve">Spalding Co </w:t>
      </w:r>
      <w:r w:rsidR="005304A3" w:rsidRPr="005304A3">
        <w:t>Planning Commission - Regular Meeting</w:t>
      </w:r>
      <w:r w:rsidR="005304A3">
        <w:t xml:space="preserve">, </w:t>
      </w:r>
      <w:r w:rsidR="005304A3" w:rsidRPr="005304A3">
        <w:t>November 25, 2025</w:t>
      </w:r>
      <w:r w:rsidR="005304A3">
        <w:t xml:space="preserve">, </w:t>
      </w:r>
      <w:r w:rsidR="005304A3" w:rsidRPr="005304A3">
        <w:t>6:00 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1F7F" w14:textId="77777777" w:rsidR="006A15D6" w:rsidRDefault="006A15D6">
    <w:pPr>
      <w:pStyle w:val="HeaderCenter"/>
    </w:pPr>
  </w:p>
  <w:p w14:paraId="19C30D4D" w14:textId="77777777" w:rsidR="006A15D6" w:rsidRDefault="006A15D6">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79AE" w14:textId="77777777" w:rsidR="006A15D6" w:rsidRDefault="006A15D6">
    <w:pPr>
      <w:pStyle w:val="HeaderCenter"/>
    </w:pPr>
  </w:p>
  <w:p w14:paraId="2989B804" w14:textId="77777777" w:rsidR="006A15D6" w:rsidRDefault="006A15D6">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1358" w14:textId="77777777" w:rsidR="006A15D6" w:rsidRDefault="006A15D6">
    <w:pPr>
      <w:pStyle w:val="HeaderCenter"/>
    </w:pPr>
  </w:p>
  <w:p w14:paraId="176EE9C4" w14:textId="77777777" w:rsidR="006A15D6" w:rsidRDefault="006A15D6">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B38E" w14:textId="77777777" w:rsidR="00694F0D" w:rsidRPr="00C4552B" w:rsidRDefault="00694F0D" w:rsidP="00C45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0AA9" w14:textId="77777777" w:rsidR="006A15D6" w:rsidRDefault="006A15D6">
    <w:pPr>
      <w:pStyle w:val="HeaderCenter"/>
    </w:pPr>
  </w:p>
  <w:p w14:paraId="4428E902" w14:textId="77777777" w:rsidR="006A15D6" w:rsidRDefault="006A15D6">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9DE4" w14:textId="6FC0671C" w:rsidR="006A15D6" w:rsidRDefault="006A15D6" w:rsidP="00C4552B">
    <w:pPr>
      <w:pStyle w:val="HeaderCenter"/>
      <w:tabs>
        <w:tab w:val="left" w:pos="5318"/>
      </w:tabs>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99BD" w14:textId="77777777" w:rsidR="006A15D6" w:rsidRPr="004352AF" w:rsidRDefault="006A15D6" w:rsidP="004352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D" w14:textId="77777777" w:rsidR="006A15D6" w:rsidRPr="00C4552B" w:rsidRDefault="006A15D6" w:rsidP="00C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2850D16E"/>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88B4E76A"/>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5DEC885C"/>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5936E4F2"/>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0F687728"/>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D0526D2C"/>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956CB9BE"/>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09E4B6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7B70D99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24214E"/>
    <w:multiLevelType w:val="multilevel"/>
    <w:tmpl w:val="5C84AE1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D27DA1A"/>
    <w:multiLevelType w:val="multilevel"/>
    <w:tmpl w:val="E4DEA6A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17D736F0"/>
    <w:multiLevelType w:val="hybridMultilevel"/>
    <w:tmpl w:val="ACCA3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187F2"/>
    <w:multiLevelType w:val="multilevel"/>
    <w:tmpl w:val="C4FC73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2123686"/>
    <w:multiLevelType w:val="hybridMultilevel"/>
    <w:tmpl w:val="834C5E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EB4EC"/>
    <w:multiLevelType w:val="multilevel"/>
    <w:tmpl w:val="C0BA33D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364F4497"/>
    <w:multiLevelType w:val="hybridMultilevel"/>
    <w:tmpl w:val="4268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1C906"/>
    <w:multiLevelType w:val="multilevel"/>
    <w:tmpl w:val="7DCA5676"/>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370E344D"/>
    <w:multiLevelType w:val="multilevel"/>
    <w:tmpl w:val="8612F10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38F83E0D"/>
    <w:multiLevelType w:val="hybridMultilevel"/>
    <w:tmpl w:val="5B4A9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F0486"/>
    <w:multiLevelType w:val="hybridMultilevel"/>
    <w:tmpl w:val="7C0C5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24B4F"/>
    <w:multiLevelType w:val="hybridMultilevel"/>
    <w:tmpl w:val="ACCA3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93525"/>
    <w:multiLevelType w:val="hybridMultilevel"/>
    <w:tmpl w:val="397A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8FAFC"/>
    <w:multiLevelType w:val="multilevel"/>
    <w:tmpl w:val="5BBA6E2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51CD04E7"/>
    <w:multiLevelType w:val="multilevel"/>
    <w:tmpl w:val="A27E475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5A801714"/>
    <w:multiLevelType w:val="hybridMultilevel"/>
    <w:tmpl w:val="5B4A9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9F47A9"/>
    <w:multiLevelType w:val="hybridMultilevel"/>
    <w:tmpl w:val="AF0295A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D33B0"/>
    <w:multiLevelType w:val="hybridMultilevel"/>
    <w:tmpl w:val="AF0295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723478"/>
    <w:multiLevelType w:val="multilevel"/>
    <w:tmpl w:val="028AE4C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6E81C95B"/>
    <w:multiLevelType w:val="multilevel"/>
    <w:tmpl w:val="A8AA0E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74A39117"/>
    <w:multiLevelType w:val="multilevel"/>
    <w:tmpl w:val="245059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0" w15:restartNumberingAfterBreak="0">
    <w:nsid w:val="75CA0AFA"/>
    <w:multiLevelType w:val="hybridMultilevel"/>
    <w:tmpl w:val="B8A0482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B456E"/>
    <w:multiLevelType w:val="multilevel"/>
    <w:tmpl w:val="BDA8791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2" w15:restartNumberingAfterBreak="0">
    <w:nsid w:val="78D01BBF"/>
    <w:multiLevelType w:val="hybridMultilevel"/>
    <w:tmpl w:val="834C5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58DB2"/>
    <w:multiLevelType w:val="multilevel"/>
    <w:tmpl w:val="90F21D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751808109">
    <w:abstractNumId w:val="8"/>
  </w:num>
  <w:num w:numId="2" w16cid:durableId="194733779">
    <w:abstractNumId w:val="7"/>
  </w:num>
  <w:num w:numId="3" w16cid:durableId="1478693269">
    <w:abstractNumId w:val="6"/>
  </w:num>
  <w:num w:numId="4" w16cid:durableId="1548251076">
    <w:abstractNumId w:val="5"/>
  </w:num>
  <w:num w:numId="5" w16cid:durableId="1432045502">
    <w:abstractNumId w:val="4"/>
  </w:num>
  <w:num w:numId="6" w16cid:durableId="887911089">
    <w:abstractNumId w:val="3"/>
  </w:num>
  <w:num w:numId="7" w16cid:durableId="452290594">
    <w:abstractNumId w:val="2"/>
  </w:num>
  <w:num w:numId="8" w16cid:durableId="577515645">
    <w:abstractNumId w:val="1"/>
  </w:num>
  <w:num w:numId="9" w16cid:durableId="1531643857">
    <w:abstractNumId w:val="0"/>
  </w:num>
  <w:num w:numId="10" w16cid:durableId="458259498">
    <w:abstractNumId w:val="16"/>
  </w:num>
  <w:num w:numId="11" w16cid:durableId="1480419748">
    <w:abstractNumId w:val="12"/>
  </w:num>
  <w:num w:numId="12" w16cid:durableId="490683037">
    <w:abstractNumId w:val="22"/>
  </w:num>
  <w:num w:numId="13" w16cid:durableId="1573002736">
    <w:abstractNumId w:val="33"/>
  </w:num>
  <w:num w:numId="14" w16cid:durableId="1175002198">
    <w:abstractNumId w:val="27"/>
  </w:num>
  <w:num w:numId="15" w16cid:durableId="212734927">
    <w:abstractNumId w:val="9"/>
  </w:num>
  <w:num w:numId="16" w16cid:durableId="1028411027">
    <w:abstractNumId w:val="29"/>
  </w:num>
  <w:num w:numId="17" w16cid:durableId="1373505809">
    <w:abstractNumId w:val="23"/>
  </w:num>
  <w:num w:numId="18" w16cid:durableId="1954091849">
    <w:abstractNumId w:val="31"/>
  </w:num>
  <w:num w:numId="19" w16cid:durableId="1563445358">
    <w:abstractNumId w:val="10"/>
  </w:num>
  <w:num w:numId="20" w16cid:durableId="1678271304">
    <w:abstractNumId w:val="14"/>
  </w:num>
  <w:num w:numId="21" w16cid:durableId="1794012088">
    <w:abstractNumId w:val="17"/>
  </w:num>
  <w:num w:numId="22" w16cid:durableId="1739857595">
    <w:abstractNumId w:val="28"/>
  </w:num>
  <w:num w:numId="23" w16cid:durableId="1787194890">
    <w:abstractNumId w:val="20"/>
  </w:num>
  <w:num w:numId="24" w16cid:durableId="34013915">
    <w:abstractNumId w:val="21"/>
  </w:num>
  <w:num w:numId="25" w16cid:durableId="1798988881">
    <w:abstractNumId w:val="18"/>
  </w:num>
  <w:num w:numId="26" w16cid:durableId="964697325">
    <w:abstractNumId w:val="32"/>
  </w:num>
  <w:num w:numId="27" w16cid:durableId="1897928393">
    <w:abstractNumId w:val="13"/>
  </w:num>
  <w:num w:numId="28" w16cid:durableId="50425842">
    <w:abstractNumId w:val="25"/>
  </w:num>
  <w:num w:numId="29" w16cid:durableId="847863785">
    <w:abstractNumId w:val="26"/>
  </w:num>
  <w:num w:numId="30" w16cid:durableId="1791391781">
    <w:abstractNumId w:val="30"/>
  </w:num>
  <w:num w:numId="31" w16cid:durableId="238562933">
    <w:abstractNumId w:val="24"/>
  </w:num>
  <w:num w:numId="32" w16cid:durableId="182941568">
    <w:abstractNumId w:val="19"/>
  </w:num>
  <w:num w:numId="33" w16cid:durableId="1157378652">
    <w:abstractNumId w:val="15"/>
  </w:num>
  <w:num w:numId="34" w16cid:durableId="1709527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D6"/>
    <w:rsid w:val="000021DC"/>
    <w:rsid w:val="0000773A"/>
    <w:rsid w:val="000119B0"/>
    <w:rsid w:val="0002692F"/>
    <w:rsid w:val="00031B87"/>
    <w:rsid w:val="0004545D"/>
    <w:rsid w:val="0005264E"/>
    <w:rsid w:val="000575A5"/>
    <w:rsid w:val="000578EF"/>
    <w:rsid w:val="00060B45"/>
    <w:rsid w:val="00062592"/>
    <w:rsid w:val="00066878"/>
    <w:rsid w:val="0007061B"/>
    <w:rsid w:val="000816CA"/>
    <w:rsid w:val="00082741"/>
    <w:rsid w:val="000930A0"/>
    <w:rsid w:val="000A1AE3"/>
    <w:rsid w:val="000B5B94"/>
    <w:rsid w:val="000C6889"/>
    <w:rsid w:val="000D2030"/>
    <w:rsid w:val="000D2CB0"/>
    <w:rsid w:val="000F7D3B"/>
    <w:rsid w:val="00106304"/>
    <w:rsid w:val="00110FDA"/>
    <w:rsid w:val="00122978"/>
    <w:rsid w:val="00131B49"/>
    <w:rsid w:val="00144705"/>
    <w:rsid w:val="00161E78"/>
    <w:rsid w:val="00166292"/>
    <w:rsid w:val="00174344"/>
    <w:rsid w:val="001810BD"/>
    <w:rsid w:val="00184758"/>
    <w:rsid w:val="001A0AA2"/>
    <w:rsid w:val="001B7577"/>
    <w:rsid w:val="001D438A"/>
    <w:rsid w:val="001D7566"/>
    <w:rsid w:val="001F3C55"/>
    <w:rsid w:val="00201095"/>
    <w:rsid w:val="00203E93"/>
    <w:rsid w:val="00207B66"/>
    <w:rsid w:val="00224AF4"/>
    <w:rsid w:val="002410E2"/>
    <w:rsid w:val="002604A7"/>
    <w:rsid w:val="0026458A"/>
    <w:rsid w:val="002649AF"/>
    <w:rsid w:val="002746DD"/>
    <w:rsid w:val="00276C16"/>
    <w:rsid w:val="00283323"/>
    <w:rsid w:val="00293734"/>
    <w:rsid w:val="002A39D4"/>
    <w:rsid w:val="002B59EB"/>
    <w:rsid w:val="002B6453"/>
    <w:rsid w:val="002B6AC1"/>
    <w:rsid w:val="002D6315"/>
    <w:rsid w:val="002E0085"/>
    <w:rsid w:val="002E1E79"/>
    <w:rsid w:val="002E6A90"/>
    <w:rsid w:val="0030442F"/>
    <w:rsid w:val="00304673"/>
    <w:rsid w:val="00313173"/>
    <w:rsid w:val="00314FFA"/>
    <w:rsid w:val="003222F8"/>
    <w:rsid w:val="00334401"/>
    <w:rsid w:val="00337674"/>
    <w:rsid w:val="00337FEA"/>
    <w:rsid w:val="00365543"/>
    <w:rsid w:val="003A3091"/>
    <w:rsid w:val="003A6776"/>
    <w:rsid w:val="003C1A18"/>
    <w:rsid w:val="003C3173"/>
    <w:rsid w:val="003D0319"/>
    <w:rsid w:val="003D623B"/>
    <w:rsid w:val="003F25AD"/>
    <w:rsid w:val="003F30E2"/>
    <w:rsid w:val="003F725C"/>
    <w:rsid w:val="00406CFE"/>
    <w:rsid w:val="00411CF4"/>
    <w:rsid w:val="004277E6"/>
    <w:rsid w:val="004352AF"/>
    <w:rsid w:val="0047102B"/>
    <w:rsid w:val="004710EB"/>
    <w:rsid w:val="0047173D"/>
    <w:rsid w:val="00494215"/>
    <w:rsid w:val="004A1413"/>
    <w:rsid w:val="004B3EEE"/>
    <w:rsid w:val="004B6121"/>
    <w:rsid w:val="004B7531"/>
    <w:rsid w:val="004D3E54"/>
    <w:rsid w:val="004D6075"/>
    <w:rsid w:val="004F19B0"/>
    <w:rsid w:val="004F60BC"/>
    <w:rsid w:val="00501326"/>
    <w:rsid w:val="005059F3"/>
    <w:rsid w:val="005166C4"/>
    <w:rsid w:val="00521A2E"/>
    <w:rsid w:val="00523BDD"/>
    <w:rsid w:val="00523CB7"/>
    <w:rsid w:val="00525E1E"/>
    <w:rsid w:val="005304A3"/>
    <w:rsid w:val="00536552"/>
    <w:rsid w:val="005371AF"/>
    <w:rsid w:val="00543F1C"/>
    <w:rsid w:val="00544E13"/>
    <w:rsid w:val="00552E54"/>
    <w:rsid w:val="00552FA0"/>
    <w:rsid w:val="00557FDD"/>
    <w:rsid w:val="005645BF"/>
    <w:rsid w:val="005801B6"/>
    <w:rsid w:val="0058297B"/>
    <w:rsid w:val="0058448C"/>
    <w:rsid w:val="005A17FC"/>
    <w:rsid w:val="005A2040"/>
    <w:rsid w:val="005A210B"/>
    <w:rsid w:val="005A76C0"/>
    <w:rsid w:val="005C28A3"/>
    <w:rsid w:val="005D3E8F"/>
    <w:rsid w:val="005E16BA"/>
    <w:rsid w:val="005F578B"/>
    <w:rsid w:val="005F5BD2"/>
    <w:rsid w:val="006024A1"/>
    <w:rsid w:val="006066C3"/>
    <w:rsid w:val="006109A3"/>
    <w:rsid w:val="00632A89"/>
    <w:rsid w:val="0063596A"/>
    <w:rsid w:val="006373EC"/>
    <w:rsid w:val="00657A2D"/>
    <w:rsid w:val="006663A2"/>
    <w:rsid w:val="00666E3B"/>
    <w:rsid w:val="006677B8"/>
    <w:rsid w:val="006703FA"/>
    <w:rsid w:val="00670436"/>
    <w:rsid w:val="00674F8E"/>
    <w:rsid w:val="00694F0D"/>
    <w:rsid w:val="006A15D6"/>
    <w:rsid w:val="006B2170"/>
    <w:rsid w:val="006E3E1F"/>
    <w:rsid w:val="006F0F72"/>
    <w:rsid w:val="006F2C5A"/>
    <w:rsid w:val="0070790C"/>
    <w:rsid w:val="00711062"/>
    <w:rsid w:val="00734188"/>
    <w:rsid w:val="007539A1"/>
    <w:rsid w:val="00756019"/>
    <w:rsid w:val="00765826"/>
    <w:rsid w:val="00780F18"/>
    <w:rsid w:val="00797E3A"/>
    <w:rsid w:val="007A0FDD"/>
    <w:rsid w:val="007A27C1"/>
    <w:rsid w:val="007A2FBA"/>
    <w:rsid w:val="007A55A5"/>
    <w:rsid w:val="007A6706"/>
    <w:rsid w:val="007B01C3"/>
    <w:rsid w:val="007B52D7"/>
    <w:rsid w:val="007D6DD4"/>
    <w:rsid w:val="007F593A"/>
    <w:rsid w:val="00824CFB"/>
    <w:rsid w:val="00834FDF"/>
    <w:rsid w:val="00852C15"/>
    <w:rsid w:val="00862734"/>
    <w:rsid w:val="00863721"/>
    <w:rsid w:val="00875F66"/>
    <w:rsid w:val="00881D41"/>
    <w:rsid w:val="00891C90"/>
    <w:rsid w:val="008924BB"/>
    <w:rsid w:val="008A1F10"/>
    <w:rsid w:val="008A5654"/>
    <w:rsid w:val="008B31FC"/>
    <w:rsid w:val="008B3464"/>
    <w:rsid w:val="008B7C16"/>
    <w:rsid w:val="008D0C04"/>
    <w:rsid w:val="008D3EF0"/>
    <w:rsid w:val="008D79AA"/>
    <w:rsid w:val="008E7168"/>
    <w:rsid w:val="008F0127"/>
    <w:rsid w:val="00910E29"/>
    <w:rsid w:val="00916BC8"/>
    <w:rsid w:val="00923036"/>
    <w:rsid w:val="00924E9C"/>
    <w:rsid w:val="00930669"/>
    <w:rsid w:val="00933CD1"/>
    <w:rsid w:val="00943C91"/>
    <w:rsid w:val="009445FA"/>
    <w:rsid w:val="00944BD4"/>
    <w:rsid w:val="00946EFC"/>
    <w:rsid w:val="00947650"/>
    <w:rsid w:val="009544CC"/>
    <w:rsid w:val="00954615"/>
    <w:rsid w:val="009558A9"/>
    <w:rsid w:val="00957A06"/>
    <w:rsid w:val="00962970"/>
    <w:rsid w:val="00966432"/>
    <w:rsid w:val="0097248E"/>
    <w:rsid w:val="009755BE"/>
    <w:rsid w:val="00983C80"/>
    <w:rsid w:val="009A15B2"/>
    <w:rsid w:val="009A2F15"/>
    <w:rsid w:val="009B0E12"/>
    <w:rsid w:val="009C0399"/>
    <w:rsid w:val="009C4F66"/>
    <w:rsid w:val="009E0447"/>
    <w:rsid w:val="009E2A6A"/>
    <w:rsid w:val="009E33DE"/>
    <w:rsid w:val="00A01EE2"/>
    <w:rsid w:val="00A04062"/>
    <w:rsid w:val="00A1703A"/>
    <w:rsid w:val="00A1713F"/>
    <w:rsid w:val="00A230FE"/>
    <w:rsid w:val="00A236E6"/>
    <w:rsid w:val="00A302E5"/>
    <w:rsid w:val="00A30EBC"/>
    <w:rsid w:val="00A50266"/>
    <w:rsid w:val="00A571BA"/>
    <w:rsid w:val="00A7465A"/>
    <w:rsid w:val="00A82CB6"/>
    <w:rsid w:val="00A82F88"/>
    <w:rsid w:val="00A85014"/>
    <w:rsid w:val="00AA3CE0"/>
    <w:rsid w:val="00AC1EE2"/>
    <w:rsid w:val="00AC3B07"/>
    <w:rsid w:val="00AE4E39"/>
    <w:rsid w:val="00AF2358"/>
    <w:rsid w:val="00AF3665"/>
    <w:rsid w:val="00B027F9"/>
    <w:rsid w:val="00B0516F"/>
    <w:rsid w:val="00B07661"/>
    <w:rsid w:val="00B1031D"/>
    <w:rsid w:val="00B224D7"/>
    <w:rsid w:val="00B23A21"/>
    <w:rsid w:val="00B3218E"/>
    <w:rsid w:val="00B417AE"/>
    <w:rsid w:val="00B44AFC"/>
    <w:rsid w:val="00B463EA"/>
    <w:rsid w:val="00B53C1E"/>
    <w:rsid w:val="00B56CCE"/>
    <w:rsid w:val="00B600DC"/>
    <w:rsid w:val="00B60F3C"/>
    <w:rsid w:val="00B65B9B"/>
    <w:rsid w:val="00B71019"/>
    <w:rsid w:val="00B732DE"/>
    <w:rsid w:val="00B81814"/>
    <w:rsid w:val="00B82E8C"/>
    <w:rsid w:val="00B8431A"/>
    <w:rsid w:val="00B84FEA"/>
    <w:rsid w:val="00BA39E9"/>
    <w:rsid w:val="00BB28FA"/>
    <w:rsid w:val="00BB4DB3"/>
    <w:rsid w:val="00BB559D"/>
    <w:rsid w:val="00BC2DB8"/>
    <w:rsid w:val="00BC4522"/>
    <w:rsid w:val="00BF11C0"/>
    <w:rsid w:val="00BF414E"/>
    <w:rsid w:val="00C01A25"/>
    <w:rsid w:val="00C05A96"/>
    <w:rsid w:val="00C150E6"/>
    <w:rsid w:val="00C15D5E"/>
    <w:rsid w:val="00C24CB1"/>
    <w:rsid w:val="00C3171D"/>
    <w:rsid w:val="00C31DF0"/>
    <w:rsid w:val="00C420E6"/>
    <w:rsid w:val="00C4552B"/>
    <w:rsid w:val="00C46714"/>
    <w:rsid w:val="00C5320B"/>
    <w:rsid w:val="00C532FB"/>
    <w:rsid w:val="00C60B50"/>
    <w:rsid w:val="00C654DD"/>
    <w:rsid w:val="00C81970"/>
    <w:rsid w:val="00C83120"/>
    <w:rsid w:val="00C87C2B"/>
    <w:rsid w:val="00C935CF"/>
    <w:rsid w:val="00CA290A"/>
    <w:rsid w:val="00CB11A3"/>
    <w:rsid w:val="00CC53B5"/>
    <w:rsid w:val="00CC6AFA"/>
    <w:rsid w:val="00CE1ADD"/>
    <w:rsid w:val="00CE2B20"/>
    <w:rsid w:val="00CF3BC2"/>
    <w:rsid w:val="00D035B1"/>
    <w:rsid w:val="00D04321"/>
    <w:rsid w:val="00D04477"/>
    <w:rsid w:val="00D05A72"/>
    <w:rsid w:val="00D075C6"/>
    <w:rsid w:val="00D24B22"/>
    <w:rsid w:val="00D3013E"/>
    <w:rsid w:val="00D32638"/>
    <w:rsid w:val="00D44027"/>
    <w:rsid w:val="00D44DE1"/>
    <w:rsid w:val="00D54BF2"/>
    <w:rsid w:val="00D56548"/>
    <w:rsid w:val="00D6244C"/>
    <w:rsid w:val="00D87136"/>
    <w:rsid w:val="00D87BD1"/>
    <w:rsid w:val="00D9097F"/>
    <w:rsid w:val="00D954E1"/>
    <w:rsid w:val="00D97F8C"/>
    <w:rsid w:val="00DA1AF2"/>
    <w:rsid w:val="00DA489D"/>
    <w:rsid w:val="00DA7FD0"/>
    <w:rsid w:val="00DB0125"/>
    <w:rsid w:val="00DC063D"/>
    <w:rsid w:val="00DC0E55"/>
    <w:rsid w:val="00DC5926"/>
    <w:rsid w:val="00DF12D7"/>
    <w:rsid w:val="00E01F74"/>
    <w:rsid w:val="00E04D59"/>
    <w:rsid w:val="00E12925"/>
    <w:rsid w:val="00E16F79"/>
    <w:rsid w:val="00E20393"/>
    <w:rsid w:val="00E21457"/>
    <w:rsid w:val="00E26F69"/>
    <w:rsid w:val="00E27FBF"/>
    <w:rsid w:val="00E3072D"/>
    <w:rsid w:val="00E47B57"/>
    <w:rsid w:val="00E55903"/>
    <w:rsid w:val="00E60544"/>
    <w:rsid w:val="00E70C90"/>
    <w:rsid w:val="00E80867"/>
    <w:rsid w:val="00E80F0E"/>
    <w:rsid w:val="00E92BAE"/>
    <w:rsid w:val="00EA3B71"/>
    <w:rsid w:val="00EA486C"/>
    <w:rsid w:val="00EB1944"/>
    <w:rsid w:val="00EC5B5B"/>
    <w:rsid w:val="00EC5F89"/>
    <w:rsid w:val="00EC6FD3"/>
    <w:rsid w:val="00EE31BD"/>
    <w:rsid w:val="00F027F7"/>
    <w:rsid w:val="00F26DE2"/>
    <w:rsid w:val="00F31290"/>
    <w:rsid w:val="00F4488E"/>
    <w:rsid w:val="00F45C95"/>
    <w:rsid w:val="00F71D1F"/>
    <w:rsid w:val="00F721D1"/>
    <w:rsid w:val="00F75D20"/>
    <w:rsid w:val="00FB004D"/>
    <w:rsid w:val="00FC3F94"/>
    <w:rsid w:val="00FD3F27"/>
    <w:rsid w:val="00FE0CA2"/>
    <w:rsid w:val="00FE6FCF"/>
    <w:rsid w:val="00FF1EE4"/>
    <w:rsid w:val="00FF202D"/>
    <w:rsid w:val="256FE85D"/>
    <w:rsid w:val="312C00CB"/>
    <w:rsid w:val="7E3E94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4E04"/>
  <w15:docId w15:val="{ED4C30F5-ACC3-4B7A-BF58-C9CEF167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uiPriority w:val="7"/>
    <w:qFormat/>
    <w:pPr>
      <w:ind w:firstLine="475"/>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15863c2f-5acd-45d3-928f-5f5efb994310">
    <w:name w:val="Normal Table_15863c2f-5acd-45d3-928f-5f5efb994310"/>
    <w:uiPriority w:val="99"/>
    <w:semiHidden/>
    <w:unhideWhenUsed/>
    <w:tblPr>
      <w:tblInd w:w="0" w:type="dxa"/>
      <w:tblCellMar>
        <w:top w:w="0" w:type="dxa"/>
        <w:left w:w="108" w:type="dxa"/>
        <w:bottom w:w="0" w:type="dxa"/>
        <w:right w:w="108" w:type="dxa"/>
      </w:tblCellMar>
    </w:tblPr>
  </w:style>
  <w:style w:type="table" w:styleId="TableGrid">
    <w:name w:val="Table Grid"/>
    <w:basedOn w:val="NormalTable15863c2f-5acd-45d3-928f-5f5efb994310"/>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bd387e7b-4881-4dd8-9153-4f859528228b">
    <w:name w:val="Normal Table_bd387e7b-4881-4dd8-9153-4f859528228b"/>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bd387e7b-4881-4dd8-9153-4f859528228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ecc6e6c-ca2e-468e-bcdf-bea585617d35">
    <w:name w:val="Normal Table_becc6e6c-ca2e-468e-bcdf-bea585617d35"/>
    <w:uiPriority w:val="99"/>
    <w:semiHidden/>
    <w:unhideWhenUsed/>
    <w:tblPr>
      <w:tblInd w:w="0" w:type="dxa"/>
      <w:tblCellMar>
        <w:top w:w="0" w:type="dxa"/>
        <w:left w:w="108" w:type="dxa"/>
        <w:bottom w:w="0" w:type="dxa"/>
        <w:right w:w="108" w:type="dxa"/>
      </w:tblCellMar>
    </w:tblPr>
  </w:style>
  <w:style w:type="table" w:customStyle="1" w:styleId="Table11055d28f-028e-44be-b383-d34db835c7b7">
    <w:name w:val="Table 1_1055d28f-028e-44be-b383-d34db835c7b7"/>
    <w:basedOn w:val="NormalTablebecc6e6c-ca2e-468e-bcdf-bea585617d3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1055d28f-028e-44be-b383-d34db835c7b7"/>
    <w:uiPriority w:val="99"/>
    <w:tblPr>
      <w:tblInd w:w="590" w:type="dxa"/>
    </w:tblPr>
  </w:style>
  <w:style w:type="table" w:customStyle="1" w:styleId="NormalTable0519e82c-4e33-437c-89d6-6826db4076c7">
    <w:name w:val="Normal Table_0519e82c-4e33-437c-89d6-6826db4076c7"/>
    <w:uiPriority w:val="99"/>
    <w:semiHidden/>
    <w:unhideWhenUsed/>
    <w:tblPr>
      <w:tblInd w:w="0" w:type="dxa"/>
      <w:tblCellMar>
        <w:top w:w="0" w:type="dxa"/>
        <w:left w:w="108" w:type="dxa"/>
        <w:bottom w:w="0" w:type="dxa"/>
        <w:right w:w="108" w:type="dxa"/>
      </w:tblCellMar>
    </w:tblPr>
  </w:style>
  <w:style w:type="table" w:customStyle="1" w:styleId="Table1555f682c-0187-4e24-a5cb-b2e824eb3de4">
    <w:name w:val="Table 1_555f682c-0187-4e24-a5cb-b2e824eb3de4"/>
    <w:basedOn w:val="NormalTable0519e82c-4e33-437c-89d6-6826db4076c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840e8f9-727a-4e89-b6ba-416dea3e6007">
    <w:name w:val="Table 2_4840e8f9-727a-4e89-b6ba-416dea3e6007"/>
    <w:basedOn w:val="Table1555f682c-0187-4e24-a5cb-b2e824eb3de4"/>
    <w:uiPriority w:val="99"/>
    <w:tblPr>
      <w:tblInd w:w="590" w:type="dxa"/>
    </w:tblPr>
  </w:style>
  <w:style w:type="table" w:customStyle="1" w:styleId="Table3">
    <w:name w:val="Table 3"/>
    <w:basedOn w:val="Table24840e8f9-727a-4e89-b6ba-416dea3e6007"/>
    <w:uiPriority w:val="99"/>
    <w:tblPr>
      <w:tblInd w:w="1066" w:type="dxa"/>
    </w:tblPr>
  </w:style>
  <w:style w:type="table" w:customStyle="1" w:styleId="NormalTablecd4b6f72-24b6-46a7-a338-d046336aca7e">
    <w:name w:val="Normal Table_cd4b6f72-24b6-46a7-a338-d046336aca7e"/>
    <w:uiPriority w:val="99"/>
    <w:semiHidden/>
    <w:unhideWhenUsed/>
    <w:tblPr>
      <w:tblInd w:w="0" w:type="dxa"/>
      <w:tblCellMar>
        <w:top w:w="0" w:type="dxa"/>
        <w:left w:w="108" w:type="dxa"/>
        <w:bottom w:w="0" w:type="dxa"/>
        <w:right w:w="108" w:type="dxa"/>
      </w:tblCellMar>
    </w:tblPr>
  </w:style>
  <w:style w:type="table" w:customStyle="1" w:styleId="Table1b062f166-731c-4e8d-88bb-32b6b6cd2b52">
    <w:name w:val="Table 1_b062f166-731c-4e8d-88bb-32b6b6cd2b52"/>
    <w:basedOn w:val="NormalTablecd4b6f72-24b6-46a7-a338-d046336aca7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6192d84-fc19-4a52-bbf0-77bcc8dd33e5">
    <w:name w:val="Table 2_76192d84-fc19-4a52-bbf0-77bcc8dd33e5"/>
    <w:basedOn w:val="Table1b062f166-731c-4e8d-88bb-32b6b6cd2b52"/>
    <w:uiPriority w:val="99"/>
    <w:tblPr>
      <w:tblInd w:w="590" w:type="dxa"/>
    </w:tblPr>
  </w:style>
  <w:style w:type="table" w:customStyle="1" w:styleId="Table309ace1e8-aa6f-4e20-b818-c636f75504c0">
    <w:name w:val="Table 3_09ace1e8-aa6f-4e20-b818-c636f75504c0"/>
    <w:basedOn w:val="Table276192d84-fc19-4a52-bbf0-77bcc8dd33e5"/>
    <w:uiPriority w:val="99"/>
    <w:tblPr>
      <w:tblInd w:w="1066" w:type="dxa"/>
    </w:tblPr>
  </w:style>
  <w:style w:type="table" w:customStyle="1" w:styleId="Table4">
    <w:name w:val="Table 4"/>
    <w:basedOn w:val="Table309ace1e8-aa6f-4e20-b818-c636f75504c0"/>
    <w:uiPriority w:val="99"/>
    <w:tblPr>
      <w:tblInd w:w="1555" w:type="dxa"/>
    </w:tblPr>
  </w:style>
  <w:style w:type="table" w:customStyle="1" w:styleId="NormalTabled23d95d3-b13e-4d39-ba76-5a786ce9517e">
    <w:name w:val="Normal Table_d23d95d3-b13e-4d39-ba76-5a786ce9517e"/>
    <w:uiPriority w:val="99"/>
    <w:semiHidden/>
    <w:unhideWhenUsed/>
    <w:tblPr>
      <w:tblInd w:w="0" w:type="dxa"/>
      <w:tblCellMar>
        <w:top w:w="0" w:type="dxa"/>
        <w:left w:w="108" w:type="dxa"/>
        <w:bottom w:w="0" w:type="dxa"/>
        <w:right w:w="108" w:type="dxa"/>
      </w:tblCellMar>
    </w:tblPr>
  </w:style>
  <w:style w:type="table" w:customStyle="1" w:styleId="Table1350e4671-189a-44ec-8bb4-12a46867a7dc">
    <w:name w:val="Table 1_350e4671-189a-44ec-8bb4-12a46867a7dc"/>
    <w:basedOn w:val="NormalTabled23d95d3-b13e-4d39-ba76-5a786ce9517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435a4fb-d1b9-45ab-9288-49ef10916253">
    <w:name w:val="Table 2_6435a4fb-d1b9-45ab-9288-49ef10916253"/>
    <w:basedOn w:val="Table1350e4671-189a-44ec-8bb4-12a46867a7dc"/>
    <w:uiPriority w:val="99"/>
    <w:tblPr>
      <w:tblInd w:w="590" w:type="dxa"/>
    </w:tblPr>
  </w:style>
  <w:style w:type="table" w:customStyle="1" w:styleId="Table31a555199-323c-4071-bff1-56cfbdd59d27">
    <w:name w:val="Table 3_1a555199-323c-4071-bff1-56cfbdd59d27"/>
    <w:basedOn w:val="Table26435a4fb-d1b9-45ab-9288-49ef10916253"/>
    <w:uiPriority w:val="99"/>
    <w:tblPr>
      <w:tblInd w:w="1066" w:type="dxa"/>
    </w:tblPr>
  </w:style>
  <w:style w:type="table" w:customStyle="1" w:styleId="Table4b8c565c7-8d78-4ccd-9a72-8031f27d1d7b">
    <w:name w:val="Table 4_b8c565c7-8d78-4ccd-9a72-8031f27d1d7b"/>
    <w:basedOn w:val="Table31a555199-323c-4071-bff1-56cfbdd59d27"/>
    <w:uiPriority w:val="99"/>
    <w:tblPr>
      <w:tblInd w:w="1555" w:type="dxa"/>
    </w:tblPr>
  </w:style>
  <w:style w:type="table" w:customStyle="1" w:styleId="Table5">
    <w:name w:val="Table 5"/>
    <w:basedOn w:val="Table4b8c565c7-8d78-4ccd-9a72-8031f27d1d7b"/>
    <w:uiPriority w:val="99"/>
    <w:tblPr>
      <w:tblInd w:w="2030" w:type="dxa"/>
    </w:tblPr>
  </w:style>
  <w:style w:type="table" w:customStyle="1" w:styleId="NormalTable91fd1321-9dac-4952-b237-3560adb287d8">
    <w:name w:val="Normal Table_91fd1321-9dac-4952-b237-3560adb287d8"/>
    <w:uiPriority w:val="99"/>
    <w:semiHidden/>
    <w:unhideWhenUsed/>
    <w:tblPr>
      <w:tblInd w:w="0" w:type="dxa"/>
      <w:tblCellMar>
        <w:top w:w="0" w:type="dxa"/>
        <w:left w:w="108" w:type="dxa"/>
        <w:bottom w:w="0" w:type="dxa"/>
        <w:right w:w="108" w:type="dxa"/>
      </w:tblCellMar>
    </w:tblPr>
  </w:style>
  <w:style w:type="table" w:customStyle="1" w:styleId="Table141e4f19c-6491-4ee1-9db2-6d30e161abd7">
    <w:name w:val="Table 1_41e4f19c-6491-4ee1-9db2-6d30e161abd7"/>
    <w:basedOn w:val="NormalTable91fd1321-9dac-4952-b237-3560adb287d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ca6ad94-693f-4a38-a1b9-c9a6d7f325b0">
    <w:name w:val="Table 2_9ca6ad94-693f-4a38-a1b9-c9a6d7f325b0"/>
    <w:basedOn w:val="Table141e4f19c-6491-4ee1-9db2-6d30e161abd7"/>
    <w:uiPriority w:val="99"/>
    <w:tblPr>
      <w:tblInd w:w="590" w:type="dxa"/>
    </w:tblPr>
  </w:style>
  <w:style w:type="table" w:customStyle="1" w:styleId="Table38ffdb3a9-af60-4980-babe-b9f7aad284ad">
    <w:name w:val="Table 3_8ffdb3a9-af60-4980-babe-b9f7aad284ad"/>
    <w:basedOn w:val="Table29ca6ad94-693f-4a38-a1b9-c9a6d7f325b0"/>
    <w:uiPriority w:val="99"/>
    <w:tblPr>
      <w:tblInd w:w="1066" w:type="dxa"/>
    </w:tblPr>
  </w:style>
  <w:style w:type="table" w:customStyle="1" w:styleId="Table43198c7c6-435a-4386-b28d-5b5ff0c57ea0">
    <w:name w:val="Table 4_3198c7c6-435a-4386-b28d-5b5ff0c57ea0"/>
    <w:basedOn w:val="Table38ffdb3a9-af60-4980-babe-b9f7aad284ad"/>
    <w:uiPriority w:val="99"/>
    <w:tblPr>
      <w:tblInd w:w="1555" w:type="dxa"/>
    </w:tblPr>
  </w:style>
  <w:style w:type="table" w:customStyle="1" w:styleId="Table579944bf9-7bc3-4f39-a934-c39d8dcb7932">
    <w:name w:val="Table 5_79944bf9-7bc3-4f39-a934-c39d8dcb7932"/>
    <w:basedOn w:val="Table43198c7c6-435a-4386-b28d-5b5ff0c57ea0"/>
    <w:uiPriority w:val="99"/>
    <w:tblPr>
      <w:tblInd w:w="2030" w:type="dxa"/>
    </w:tblPr>
  </w:style>
  <w:style w:type="table" w:customStyle="1" w:styleId="Table6">
    <w:name w:val="Table 6"/>
    <w:basedOn w:val="Table579944bf9-7bc3-4f39-a934-c39d8dcb7932"/>
    <w:uiPriority w:val="99"/>
    <w:tblPr>
      <w:tblInd w:w="2506" w:type="dxa"/>
      <w:tblCellMar>
        <w:left w:w="115" w:type="dxa"/>
        <w:right w:w="115" w:type="dxa"/>
      </w:tblCellMar>
    </w:tblPr>
  </w:style>
  <w:style w:type="table" w:customStyle="1" w:styleId="NormalTableae84fb5d-779c-4fc6-81d2-dfe30b82d197">
    <w:name w:val="Normal Table_ae84fb5d-779c-4fc6-81d2-dfe30b82d197"/>
    <w:uiPriority w:val="99"/>
    <w:semiHidden/>
    <w:unhideWhenUsed/>
    <w:tblPr>
      <w:tblInd w:w="0" w:type="dxa"/>
      <w:tblCellMar>
        <w:top w:w="0" w:type="dxa"/>
        <w:left w:w="108" w:type="dxa"/>
        <w:bottom w:w="0" w:type="dxa"/>
        <w:right w:w="108" w:type="dxa"/>
      </w:tblCellMar>
    </w:tblPr>
  </w:style>
  <w:style w:type="table" w:customStyle="1" w:styleId="Table16cc2e71d-ecff-4beb-8004-ddd59d6b2c17">
    <w:name w:val="Table 1_6cc2e71d-ecff-4beb-8004-ddd59d6b2c17"/>
    <w:basedOn w:val="NormalTableae84fb5d-779c-4fc6-81d2-dfe30b82d19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63a2510-8232-4f58-baf6-3c0f7fe5d0d5">
    <w:name w:val="Table 2_263a2510-8232-4f58-baf6-3c0f7fe5d0d5"/>
    <w:basedOn w:val="Table16cc2e71d-ecff-4beb-8004-ddd59d6b2c17"/>
    <w:uiPriority w:val="99"/>
    <w:tblPr>
      <w:tblInd w:w="590" w:type="dxa"/>
    </w:tblPr>
  </w:style>
  <w:style w:type="table" w:customStyle="1" w:styleId="Table3e3af9ce0-fd0a-400e-975c-925a7087b507">
    <w:name w:val="Table 3_e3af9ce0-fd0a-400e-975c-925a7087b507"/>
    <w:basedOn w:val="Table2263a2510-8232-4f58-baf6-3c0f7fe5d0d5"/>
    <w:uiPriority w:val="99"/>
    <w:tblPr>
      <w:tblInd w:w="1066" w:type="dxa"/>
    </w:tblPr>
  </w:style>
  <w:style w:type="table" w:customStyle="1" w:styleId="Table4a3555e46-2689-48af-942c-fd4d1415c9b8">
    <w:name w:val="Table 4_a3555e46-2689-48af-942c-fd4d1415c9b8"/>
    <w:basedOn w:val="Table3e3af9ce0-fd0a-400e-975c-925a7087b507"/>
    <w:uiPriority w:val="99"/>
    <w:tblPr>
      <w:tblInd w:w="1555" w:type="dxa"/>
    </w:tblPr>
  </w:style>
  <w:style w:type="table" w:customStyle="1" w:styleId="Table56bd57af5-8efc-4381-9c4e-2eb1fd870605">
    <w:name w:val="Table 5_6bd57af5-8efc-4381-9c4e-2eb1fd870605"/>
    <w:basedOn w:val="Table4a3555e46-2689-48af-942c-fd4d1415c9b8"/>
    <w:uiPriority w:val="99"/>
    <w:tblPr>
      <w:tblInd w:w="2030" w:type="dxa"/>
    </w:tblPr>
  </w:style>
  <w:style w:type="table" w:customStyle="1" w:styleId="Table604f5a719-47f3-4701-8fb0-a7fab89f244a">
    <w:name w:val="Table 6_04f5a719-47f3-4701-8fb0-a7fab89f244a"/>
    <w:basedOn w:val="Table56bd57af5-8efc-4381-9c4e-2eb1fd870605"/>
    <w:uiPriority w:val="99"/>
    <w:tblPr>
      <w:tblInd w:w="2506" w:type="dxa"/>
      <w:tblCellMar>
        <w:left w:w="115" w:type="dxa"/>
        <w:right w:w="115" w:type="dxa"/>
      </w:tblCellMar>
    </w:tblPr>
  </w:style>
  <w:style w:type="table" w:customStyle="1" w:styleId="Table7">
    <w:name w:val="Table 7"/>
    <w:basedOn w:val="Table604f5a719-47f3-4701-8fb0-a7fab89f244a"/>
    <w:uiPriority w:val="99"/>
    <w:tblPr>
      <w:tblInd w:w="2995" w:type="dxa"/>
    </w:tblPr>
  </w:style>
  <w:style w:type="table" w:customStyle="1" w:styleId="NormalTablee66ff8e1-a9e1-4461-85c7-f314ea8d811a">
    <w:name w:val="Normal Table_e66ff8e1-a9e1-4461-85c7-f314ea8d811a"/>
    <w:uiPriority w:val="99"/>
    <w:semiHidden/>
    <w:unhideWhenUsed/>
    <w:tblPr>
      <w:tblInd w:w="0" w:type="dxa"/>
      <w:tblCellMar>
        <w:top w:w="0" w:type="dxa"/>
        <w:left w:w="108" w:type="dxa"/>
        <w:bottom w:w="0" w:type="dxa"/>
        <w:right w:w="108" w:type="dxa"/>
      </w:tblCellMar>
    </w:tblPr>
  </w:style>
  <w:style w:type="table" w:customStyle="1" w:styleId="Table112421823-3eec-40bf-80ba-0313af0f9123">
    <w:name w:val="Table 1_12421823-3eec-40bf-80ba-0313af0f9123"/>
    <w:basedOn w:val="NormalTablee66ff8e1-a9e1-4461-85c7-f314ea8d811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472bdc1-956d-45c7-9c14-7112cc0a917e">
    <w:name w:val="Table 2_5472bdc1-956d-45c7-9c14-7112cc0a917e"/>
    <w:basedOn w:val="Table112421823-3eec-40bf-80ba-0313af0f9123"/>
    <w:uiPriority w:val="99"/>
    <w:tblPr>
      <w:tblInd w:w="590" w:type="dxa"/>
    </w:tblPr>
  </w:style>
  <w:style w:type="table" w:customStyle="1" w:styleId="Table33e2271b5-1676-40b6-b493-c34519ca796f">
    <w:name w:val="Table 3_3e2271b5-1676-40b6-b493-c34519ca796f"/>
    <w:basedOn w:val="Table25472bdc1-956d-45c7-9c14-7112cc0a917e"/>
    <w:uiPriority w:val="99"/>
    <w:tblPr>
      <w:tblInd w:w="1066" w:type="dxa"/>
    </w:tblPr>
  </w:style>
  <w:style w:type="table" w:customStyle="1" w:styleId="Table44b3daa88-fce1-4a48-b928-c0a33030627d">
    <w:name w:val="Table 4_4b3daa88-fce1-4a48-b928-c0a33030627d"/>
    <w:basedOn w:val="Table33e2271b5-1676-40b6-b493-c34519ca796f"/>
    <w:uiPriority w:val="99"/>
    <w:tblPr>
      <w:tblInd w:w="1555" w:type="dxa"/>
    </w:tblPr>
  </w:style>
  <w:style w:type="table" w:customStyle="1" w:styleId="Table5e1acd181-9d42-44cf-bd73-46e4ffadac5c">
    <w:name w:val="Table 5_e1acd181-9d42-44cf-bd73-46e4ffadac5c"/>
    <w:basedOn w:val="Table44b3daa88-fce1-4a48-b928-c0a33030627d"/>
    <w:uiPriority w:val="99"/>
    <w:tblPr>
      <w:tblInd w:w="2030" w:type="dxa"/>
    </w:tblPr>
  </w:style>
  <w:style w:type="table" w:customStyle="1" w:styleId="Table6dc3d2443-170e-46df-b4e6-d3c98feda2e4">
    <w:name w:val="Table 6_dc3d2443-170e-46df-b4e6-d3c98feda2e4"/>
    <w:basedOn w:val="Table5e1acd181-9d42-44cf-bd73-46e4ffadac5c"/>
    <w:uiPriority w:val="99"/>
    <w:tblPr>
      <w:tblInd w:w="2506" w:type="dxa"/>
      <w:tblCellMar>
        <w:left w:w="115" w:type="dxa"/>
        <w:right w:w="115" w:type="dxa"/>
      </w:tblCellMar>
    </w:tblPr>
  </w:style>
  <w:style w:type="table" w:customStyle="1" w:styleId="Table7a719a9b1-885d-4c64-a026-7455c0ecb18c">
    <w:name w:val="Table 7_a719a9b1-885d-4c64-a026-7455c0ecb18c"/>
    <w:basedOn w:val="Table6dc3d2443-170e-46df-b4e6-d3c98feda2e4"/>
    <w:uiPriority w:val="99"/>
    <w:tblPr>
      <w:tblInd w:w="2995" w:type="dxa"/>
    </w:tblPr>
  </w:style>
  <w:style w:type="table" w:customStyle="1" w:styleId="Table8">
    <w:name w:val="Table 8"/>
    <w:basedOn w:val="Table7a719a9b1-885d-4c64-a026-7455c0ecb18c"/>
    <w:uiPriority w:val="99"/>
    <w:tblPr>
      <w:tblInd w:w="3470" w:type="dxa"/>
    </w:tblPr>
  </w:style>
  <w:style w:type="table" w:customStyle="1" w:styleId="NormalTablea3bdd2d3-9afb-4855-a36f-9ff3cd9fd359">
    <w:name w:val="Normal Table_a3bdd2d3-9afb-4855-a36f-9ff3cd9fd359"/>
    <w:uiPriority w:val="99"/>
    <w:semiHidden/>
    <w:unhideWhenUsed/>
    <w:tblPr>
      <w:tblInd w:w="0" w:type="dxa"/>
      <w:tblCellMar>
        <w:top w:w="0" w:type="dxa"/>
        <w:left w:w="108" w:type="dxa"/>
        <w:bottom w:w="0" w:type="dxa"/>
        <w:right w:w="108" w:type="dxa"/>
      </w:tblCellMar>
    </w:tblPr>
  </w:style>
  <w:style w:type="table" w:customStyle="1" w:styleId="Table10dea5c02-9de2-4844-b73a-197cb909edfe">
    <w:name w:val="Table 1_0dea5c02-9de2-4844-b73a-197cb909edfe"/>
    <w:basedOn w:val="NormalTablea3bdd2d3-9afb-4855-a36f-9ff3cd9fd35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bb0940b-5a35-481b-99e8-cc3fa5b83fdf">
    <w:name w:val="Table 2_9bb0940b-5a35-481b-99e8-cc3fa5b83fdf"/>
    <w:basedOn w:val="Table10dea5c02-9de2-4844-b73a-197cb909edfe"/>
    <w:uiPriority w:val="99"/>
    <w:tblPr>
      <w:tblInd w:w="590" w:type="dxa"/>
    </w:tblPr>
  </w:style>
  <w:style w:type="table" w:customStyle="1" w:styleId="Table3e5f6d3a6-a265-4741-af38-1ee03339c5ee">
    <w:name w:val="Table 3_e5f6d3a6-a265-4741-af38-1ee03339c5ee"/>
    <w:basedOn w:val="Table29bb0940b-5a35-481b-99e8-cc3fa5b83fdf"/>
    <w:uiPriority w:val="99"/>
    <w:tblPr>
      <w:tblInd w:w="1066" w:type="dxa"/>
    </w:tblPr>
  </w:style>
  <w:style w:type="table" w:customStyle="1" w:styleId="Table4c71b7d59-0195-4c19-8575-7eac5468bf77">
    <w:name w:val="Table 4_c71b7d59-0195-4c19-8575-7eac5468bf77"/>
    <w:basedOn w:val="Table3e5f6d3a6-a265-4741-af38-1ee03339c5ee"/>
    <w:uiPriority w:val="99"/>
    <w:tblPr>
      <w:tblInd w:w="1555" w:type="dxa"/>
    </w:tblPr>
  </w:style>
  <w:style w:type="table" w:customStyle="1" w:styleId="Table571385830-6e6c-4d25-8ec8-689996bd2ce5">
    <w:name w:val="Table 5_71385830-6e6c-4d25-8ec8-689996bd2ce5"/>
    <w:basedOn w:val="Table4c71b7d59-0195-4c19-8575-7eac5468bf77"/>
    <w:uiPriority w:val="99"/>
    <w:tblPr>
      <w:tblInd w:w="2030" w:type="dxa"/>
    </w:tblPr>
  </w:style>
  <w:style w:type="table" w:customStyle="1" w:styleId="Table6c487f5f9-1362-47bd-bcab-d3109ffb98b7">
    <w:name w:val="Table 6_c487f5f9-1362-47bd-bcab-d3109ffb98b7"/>
    <w:basedOn w:val="Table571385830-6e6c-4d25-8ec8-689996bd2ce5"/>
    <w:uiPriority w:val="99"/>
    <w:tblPr>
      <w:tblInd w:w="2506" w:type="dxa"/>
      <w:tblCellMar>
        <w:left w:w="115" w:type="dxa"/>
        <w:right w:w="115" w:type="dxa"/>
      </w:tblCellMar>
    </w:tblPr>
  </w:style>
  <w:style w:type="table" w:customStyle="1" w:styleId="Table788ba7c9a-1b52-4283-b14c-7bb9e758c7a7">
    <w:name w:val="Table 7_88ba7c9a-1b52-4283-b14c-7bb9e758c7a7"/>
    <w:basedOn w:val="Table6c487f5f9-1362-47bd-bcab-d3109ffb98b7"/>
    <w:uiPriority w:val="99"/>
    <w:tblPr>
      <w:tblInd w:w="2995" w:type="dxa"/>
    </w:tblPr>
  </w:style>
  <w:style w:type="table" w:customStyle="1" w:styleId="Table844139f39-abbe-449b-b613-b870e4ea8b08">
    <w:name w:val="Table 8_44139f39-abbe-449b-b613-b870e4ea8b08"/>
    <w:basedOn w:val="Table788ba7c9a-1b52-4283-b14c-7bb9e758c7a7"/>
    <w:uiPriority w:val="99"/>
    <w:tblPr>
      <w:tblInd w:w="3470" w:type="dxa"/>
    </w:tblPr>
  </w:style>
  <w:style w:type="table" w:customStyle="1" w:styleId="Table9">
    <w:name w:val="Table 9"/>
    <w:basedOn w:val="Table844139f39-abbe-449b-b613-b870e4ea8b08"/>
    <w:uiPriority w:val="99"/>
    <w:tblPr>
      <w:tblInd w:w="3946" w:type="dxa"/>
    </w:tblPr>
  </w:style>
  <w:style w:type="table" w:customStyle="1" w:styleId="NormalTableb44ee7f5-4af4-4739-82a5-d844781a6f2a">
    <w:name w:val="Normal Table_b44ee7f5-4af4-4739-82a5-d844781a6f2a"/>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b44ee7f5-4af4-4739-82a5-d844781a6f2a"/>
    <w:uiPriority w:val="99"/>
    <w:pPr>
      <w:spacing w:before="0" w:after="0"/>
      <w:jc w:val="left"/>
    </w:pPr>
    <w:tblPr>
      <w:tblCellMar>
        <w:left w:w="0" w:type="dxa"/>
        <w:right w:w="0" w:type="dxa"/>
      </w:tblCellMar>
    </w:tblPr>
    <w:tcPr>
      <w:shd w:val="clear" w:color="auto" w:fill="auto"/>
    </w:tcPr>
  </w:style>
  <w:style w:type="table" w:customStyle="1" w:styleId="NormalTable666d879d-65d6-425e-beab-59cf91f0769f">
    <w:name w:val="Normal Table_666d879d-65d6-425e-beab-59cf91f0769f"/>
    <w:uiPriority w:val="99"/>
    <w:semiHidden/>
    <w:unhideWhenUsed/>
    <w:tblPr>
      <w:tblInd w:w="0" w:type="dxa"/>
      <w:tblCellMar>
        <w:top w:w="0" w:type="dxa"/>
        <w:left w:w="108" w:type="dxa"/>
        <w:bottom w:w="0" w:type="dxa"/>
        <w:right w:w="108" w:type="dxa"/>
      </w:tblCellMar>
    </w:tblPr>
  </w:style>
  <w:style w:type="table" w:customStyle="1" w:styleId="TableNoRule17b868c43-bd17-4c9d-8756-e593f59a407a">
    <w:name w:val="Table NoRule 1_7b868c43-bd17-4c9d-8756-e593f59a407a"/>
    <w:basedOn w:val="NormalTable666d879d-65d6-425e-beab-59cf91f0769f"/>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7b868c43-bd17-4c9d-8756-e593f59a407a"/>
    <w:uiPriority w:val="99"/>
    <w:tblPr>
      <w:tblInd w:w="475" w:type="dxa"/>
    </w:tblPr>
  </w:style>
  <w:style w:type="table" w:customStyle="1" w:styleId="NormalTable99a790d2-c289-48ee-815c-c9a22cb83123">
    <w:name w:val="Normal Table_99a790d2-c289-48ee-815c-c9a22cb83123"/>
    <w:uiPriority w:val="99"/>
    <w:semiHidden/>
    <w:unhideWhenUsed/>
    <w:tblPr>
      <w:tblInd w:w="0" w:type="dxa"/>
      <w:tblCellMar>
        <w:top w:w="0" w:type="dxa"/>
        <w:left w:w="108" w:type="dxa"/>
        <w:bottom w:w="0" w:type="dxa"/>
        <w:right w:w="108" w:type="dxa"/>
      </w:tblCellMar>
    </w:tblPr>
  </w:style>
  <w:style w:type="table" w:customStyle="1" w:styleId="TableNoRule17df27509-682d-4afa-953e-607991abf99c">
    <w:name w:val="Table NoRule 1_7df27509-682d-4afa-953e-607991abf99c"/>
    <w:basedOn w:val="NormalTable99a790d2-c289-48ee-815c-c9a22cb83123"/>
    <w:uiPriority w:val="99"/>
    <w:pPr>
      <w:spacing w:before="0" w:after="0"/>
      <w:jc w:val="left"/>
    </w:pPr>
    <w:tblPr>
      <w:tblCellMar>
        <w:left w:w="0" w:type="dxa"/>
        <w:right w:w="0" w:type="dxa"/>
      </w:tblCellMar>
    </w:tblPr>
    <w:tcPr>
      <w:shd w:val="clear" w:color="auto" w:fill="auto"/>
    </w:tcPr>
  </w:style>
  <w:style w:type="table" w:customStyle="1" w:styleId="TableNoRule2fa098f24-920a-429c-9ce4-33b7ce2e517a">
    <w:name w:val="Table NoRule 2_fa098f24-920a-429c-9ce4-33b7ce2e517a"/>
    <w:basedOn w:val="TableNoRule17df27509-682d-4afa-953e-607991abf99c"/>
    <w:uiPriority w:val="99"/>
    <w:tblPr>
      <w:tblInd w:w="475" w:type="dxa"/>
    </w:tblPr>
  </w:style>
  <w:style w:type="table" w:customStyle="1" w:styleId="TableNoRule3">
    <w:name w:val="Table NoRule 3"/>
    <w:basedOn w:val="TableNoRule2fa098f24-920a-429c-9ce4-33b7ce2e517a"/>
    <w:uiPriority w:val="99"/>
    <w:tblPr>
      <w:tblInd w:w="950" w:type="dxa"/>
    </w:tblPr>
  </w:style>
  <w:style w:type="table" w:customStyle="1" w:styleId="NormalTable022f5b4f-dae7-4ef1-a99f-8beafa161dfe">
    <w:name w:val="Normal Table_022f5b4f-dae7-4ef1-a99f-8beafa161dfe"/>
    <w:uiPriority w:val="99"/>
    <w:semiHidden/>
    <w:unhideWhenUsed/>
    <w:tblPr>
      <w:tblInd w:w="0" w:type="dxa"/>
      <w:tblCellMar>
        <w:top w:w="0" w:type="dxa"/>
        <w:left w:w="108" w:type="dxa"/>
        <w:bottom w:w="0" w:type="dxa"/>
        <w:right w:w="108" w:type="dxa"/>
      </w:tblCellMar>
    </w:tblPr>
  </w:style>
  <w:style w:type="table" w:customStyle="1" w:styleId="TableNoRule10c968798-dcf7-4325-b95e-f58909f26fd6">
    <w:name w:val="Table NoRule 1_0c968798-dcf7-4325-b95e-f58909f26fd6"/>
    <w:basedOn w:val="NormalTable022f5b4f-dae7-4ef1-a99f-8beafa161dfe"/>
    <w:uiPriority w:val="99"/>
    <w:pPr>
      <w:spacing w:before="0" w:after="0"/>
      <w:jc w:val="left"/>
    </w:pPr>
    <w:tblPr>
      <w:tblCellMar>
        <w:left w:w="0" w:type="dxa"/>
        <w:right w:w="0" w:type="dxa"/>
      </w:tblCellMar>
    </w:tblPr>
    <w:tcPr>
      <w:shd w:val="clear" w:color="auto" w:fill="auto"/>
    </w:tcPr>
  </w:style>
  <w:style w:type="table" w:customStyle="1" w:styleId="TableNoRule2704015fb-a5fc-400b-8fa0-571922e053b0">
    <w:name w:val="Table NoRule 2_704015fb-a5fc-400b-8fa0-571922e053b0"/>
    <w:basedOn w:val="TableNoRule10c968798-dcf7-4325-b95e-f58909f26fd6"/>
    <w:uiPriority w:val="99"/>
    <w:tblPr>
      <w:tblInd w:w="475" w:type="dxa"/>
    </w:tblPr>
  </w:style>
  <w:style w:type="table" w:customStyle="1" w:styleId="TableNoRule31da5a929-578b-454c-84b5-fab62c6c0f05">
    <w:name w:val="Table NoRule 3_1da5a929-578b-454c-84b5-fab62c6c0f05"/>
    <w:basedOn w:val="TableNoRule2704015fb-a5fc-400b-8fa0-571922e053b0"/>
    <w:uiPriority w:val="99"/>
    <w:tblPr>
      <w:tblInd w:w="950" w:type="dxa"/>
    </w:tblPr>
  </w:style>
  <w:style w:type="table" w:customStyle="1" w:styleId="TableNoRule4">
    <w:name w:val="Table NoRule 4"/>
    <w:basedOn w:val="TableNoRule31da5a929-578b-454c-84b5-fab62c6c0f05"/>
    <w:uiPriority w:val="99"/>
    <w:tblPr>
      <w:tblInd w:w="1440" w:type="dxa"/>
    </w:tblPr>
  </w:style>
  <w:style w:type="table" w:customStyle="1" w:styleId="NormalTableb24da58a-2639-44cd-a4e0-0a285484077a">
    <w:name w:val="Normal Table_b24da58a-2639-44cd-a4e0-0a285484077a"/>
    <w:uiPriority w:val="99"/>
    <w:semiHidden/>
    <w:unhideWhenUsed/>
    <w:tblPr>
      <w:tblInd w:w="0" w:type="dxa"/>
      <w:tblCellMar>
        <w:top w:w="0" w:type="dxa"/>
        <w:left w:w="108" w:type="dxa"/>
        <w:bottom w:w="0" w:type="dxa"/>
        <w:right w:w="108" w:type="dxa"/>
      </w:tblCellMar>
    </w:tblPr>
  </w:style>
  <w:style w:type="table" w:customStyle="1" w:styleId="TableNoRule19e52f5a8-af28-4412-ac4d-2c1a0bdd3b41">
    <w:name w:val="Table NoRule 1_9e52f5a8-af28-4412-ac4d-2c1a0bdd3b41"/>
    <w:basedOn w:val="NormalTableb24da58a-2639-44cd-a4e0-0a285484077a"/>
    <w:uiPriority w:val="99"/>
    <w:pPr>
      <w:spacing w:before="0" w:after="0"/>
      <w:jc w:val="left"/>
    </w:pPr>
    <w:tblPr>
      <w:tblCellMar>
        <w:left w:w="0" w:type="dxa"/>
        <w:right w:w="0" w:type="dxa"/>
      </w:tblCellMar>
    </w:tblPr>
    <w:tcPr>
      <w:shd w:val="clear" w:color="auto" w:fill="auto"/>
    </w:tcPr>
  </w:style>
  <w:style w:type="table" w:customStyle="1" w:styleId="TableNoRule214a55827-2784-401f-98d6-a9b5b2605d76">
    <w:name w:val="Table NoRule 2_14a55827-2784-401f-98d6-a9b5b2605d76"/>
    <w:basedOn w:val="TableNoRule19e52f5a8-af28-4412-ac4d-2c1a0bdd3b41"/>
    <w:uiPriority w:val="99"/>
    <w:tblPr>
      <w:tblInd w:w="475" w:type="dxa"/>
    </w:tblPr>
  </w:style>
  <w:style w:type="table" w:customStyle="1" w:styleId="TableNoRule3cae64097-84de-4e6b-b0e2-e2d6ba2ac598">
    <w:name w:val="Table NoRule 3_cae64097-84de-4e6b-b0e2-e2d6ba2ac598"/>
    <w:basedOn w:val="TableNoRule214a55827-2784-401f-98d6-a9b5b2605d76"/>
    <w:uiPriority w:val="99"/>
    <w:tblPr>
      <w:tblInd w:w="950" w:type="dxa"/>
    </w:tblPr>
  </w:style>
  <w:style w:type="table" w:customStyle="1" w:styleId="TableNoRule4e092bac9-3faf-464b-a96c-16e11bccb55e">
    <w:name w:val="Table NoRule 4_e092bac9-3faf-464b-a96c-16e11bccb55e"/>
    <w:basedOn w:val="TableNoRule3cae64097-84de-4e6b-b0e2-e2d6ba2ac598"/>
    <w:uiPriority w:val="99"/>
    <w:tblPr>
      <w:tblInd w:w="1440" w:type="dxa"/>
    </w:tblPr>
  </w:style>
  <w:style w:type="table" w:customStyle="1" w:styleId="TableNoRule5">
    <w:name w:val="Table NoRule 5"/>
    <w:basedOn w:val="TableNoRule4e092bac9-3faf-464b-a96c-16e11bccb55e"/>
    <w:uiPriority w:val="99"/>
    <w:tblPr>
      <w:tblInd w:w="1915" w:type="dxa"/>
    </w:tblPr>
  </w:style>
  <w:style w:type="table" w:customStyle="1" w:styleId="NormalTable4ecc4f72-0752-4b19-a412-fd9854480205">
    <w:name w:val="Normal Table_4ecc4f72-0752-4b19-a412-fd9854480205"/>
    <w:uiPriority w:val="99"/>
    <w:semiHidden/>
    <w:unhideWhenUsed/>
    <w:tblPr>
      <w:tblInd w:w="0" w:type="dxa"/>
      <w:tblCellMar>
        <w:top w:w="0" w:type="dxa"/>
        <w:left w:w="108" w:type="dxa"/>
        <w:bottom w:w="0" w:type="dxa"/>
        <w:right w:w="108" w:type="dxa"/>
      </w:tblCellMar>
    </w:tblPr>
  </w:style>
  <w:style w:type="table" w:customStyle="1" w:styleId="TableNoRule13181b6f3-f8bb-4a74-85fd-bb62c02f3d29">
    <w:name w:val="Table NoRule 1_3181b6f3-f8bb-4a74-85fd-bb62c02f3d29"/>
    <w:basedOn w:val="NormalTable4ecc4f72-0752-4b19-a412-fd9854480205"/>
    <w:uiPriority w:val="99"/>
    <w:pPr>
      <w:spacing w:before="0" w:after="0"/>
      <w:jc w:val="left"/>
    </w:pPr>
    <w:tblPr>
      <w:tblCellMar>
        <w:left w:w="0" w:type="dxa"/>
        <w:right w:w="0" w:type="dxa"/>
      </w:tblCellMar>
    </w:tblPr>
    <w:tcPr>
      <w:shd w:val="clear" w:color="auto" w:fill="auto"/>
    </w:tcPr>
  </w:style>
  <w:style w:type="table" w:customStyle="1" w:styleId="TableNoRule2204c3692-ed19-498a-92a0-704c4ba65a2c">
    <w:name w:val="Table NoRule 2_204c3692-ed19-498a-92a0-704c4ba65a2c"/>
    <w:basedOn w:val="TableNoRule13181b6f3-f8bb-4a74-85fd-bb62c02f3d29"/>
    <w:uiPriority w:val="99"/>
    <w:tblPr>
      <w:tblInd w:w="475" w:type="dxa"/>
    </w:tblPr>
  </w:style>
  <w:style w:type="table" w:customStyle="1" w:styleId="TableNoRule32eec8727-df9a-46e9-9cc5-727a91cdab5c">
    <w:name w:val="Table NoRule 3_2eec8727-df9a-46e9-9cc5-727a91cdab5c"/>
    <w:basedOn w:val="TableNoRule2204c3692-ed19-498a-92a0-704c4ba65a2c"/>
    <w:uiPriority w:val="99"/>
    <w:tblPr>
      <w:tblInd w:w="950" w:type="dxa"/>
    </w:tblPr>
  </w:style>
  <w:style w:type="table" w:customStyle="1" w:styleId="TableNoRule4c31fbf66-8b08-4872-b01a-43ca0971f42e">
    <w:name w:val="Table NoRule 4_c31fbf66-8b08-4872-b01a-43ca0971f42e"/>
    <w:basedOn w:val="TableNoRule32eec8727-df9a-46e9-9cc5-727a91cdab5c"/>
    <w:uiPriority w:val="99"/>
    <w:tblPr>
      <w:tblInd w:w="1440" w:type="dxa"/>
    </w:tblPr>
  </w:style>
  <w:style w:type="table" w:customStyle="1" w:styleId="TableNoRule53ce97241-e718-4a2c-9141-ba39bfd7f59a">
    <w:name w:val="Table NoRule 5_3ce97241-e718-4a2c-9141-ba39bfd7f59a"/>
    <w:basedOn w:val="TableNoRule4c31fbf66-8b08-4872-b01a-43ca0971f42e"/>
    <w:uiPriority w:val="99"/>
    <w:tblPr>
      <w:tblInd w:w="1915" w:type="dxa"/>
    </w:tblPr>
  </w:style>
  <w:style w:type="table" w:customStyle="1" w:styleId="TableNoRule6">
    <w:name w:val="Table NoRule 6"/>
    <w:basedOn w:val="TableNoRule53ce97241-e718-4a2c-9141-ba39bfd7f59a"/>
    <w:uiPriority w:val="99"/>
    <w:tblPr>
      <w:tblInd w:w="2390" w:type="dxa"/>
    </w:tblPr>
  </w:style>
  <w:style w:type="table" w:customStyle="1" w:styleId="NormalTable791a3fd7-51c6-427f-a24c-3658c97b4025">
    <w:name w:val="Normal Table_791a3fd7-51c6-427f-a24c-3658c97b4025"/>
    <w:uiPriority w:val="99"/>
    <w:semiHidden/>
    <w:unhideWhenUsed/>
    <w:tblPr>
      <w:tblInd w:w="0" w:type="dxa"/>
      <w:tblCellMar>
        <w:top w:w="0" w:type="dxa"/>
        <w:left w:w="108" w:type="dxa"/>
        <w:bottom w:w="0" w:type="dxa"/>
        <w:right w:w="108" w:type="dxa"/>
      </w:tblCellMar>
    </w:tblPr>
  </w:style>
  <w:style w:type="table" w:customStyle="1" w:styleId="TableNoRule178a47539-aad0-4e54-b08c-379d29ca57e2">
    <w:name w:val="Table NoRule 1_78a47539-aad0-4e54-b08c-379d29ca57e2"/>
    <w:basedOn w:val="NormalTable791a3fd7-51c6-427f-a24c-3658c97b4025"/>
    <w:uiPriority w:val="99"/>
    <w:pPr>
      <w:spacing w:before="0" w:after="0"/>
      <w:jc w:val="left"/>
    </w:pPr>
    <w:tblPr>
      <w:tblCellMar>
        <w:left w:w="0" w:type="dxa"/>
        <w:right w:w="0" w:type="dxa"/>
      </w:tblCellMar>
    </w:tblPr>
    <w:tcPr>
      <w:shd w:val="clear" w:color="auto" w:fill="auto"/>
    </w:tcPr>
  </w:style>
  <w:style w:type="table" w:customStyle="1" w:styleId="TableNoRule234e85dfe-af80-43c2-9767-cb2abb979690">
    <w:name w:val="Table NoRule 2_34e85dfe-af80-43c2-9767-cb2abb979690"/>
    <w:basedOn w:val="TableNoRule178a47539-aad0-4e54-b08c-379d29ca57e2"/>
    <w:uiPriority w:val="99"/>
    <w:tblPr>
      <w:tblInd w:w="475" w:type="dxa"/>
    </w:tblPr>
  </w:style>
  <w:style w:type="table" w:customStyle="1" w:styleId="TableNoRule309c64078-fda8-47ba-ac06-e936b1a77b63">
    <w:name w:val="Table NoRule 3_09c64078-fda8-47ba-ac06-e936b1a77b63"/>
    <w:basedOn w:val="TableNoRule234e85dfe-af80-43c2-9767-cb2abb979690"/>
    <w:uiPriority w:val="99"/>
    <w:tblPr>
      <w:tblInd w:w="950" w:type="dxa"/>
    </w:tblPr>
  </w:style>
  <w:style w:type="table" w:customStyle="1" w:styleId="TableNoRule4926c0381-42ea-4607-b5ab-0a4767a771ff">
    <w:name w:val="Table NoRule 4_926c0381-42ea-4607-b5ab-0a4767a771ff"/>
    <w:basedOn w:val="TableNoRule309c64078-fda8-47ba-ac06-e936b1a77b63"/>
    <w:uiPriority w:val="99"/>
    <w:tblPr>
      <w:tblInd w:w="1440" w:type="dxa"/>
    </w:tblPr>
  </w:style>
  <w:style w:type="table" w:customStyle="1" w:styleId="TableNoRule5efd8035f-7608-4fdf-a82a-06c6609d9cfe">
    <w:name w:val="Table NoRule 5_efd8035f-7608-4fdf-a82a-06c6609d9cfe"/>
    <w:basedOn w:val="TableNoRule4926c0381-42ea-4607-b5ab-0a4767a771ff"/>
    <w:uiPriority w:val="99"/>
    <w:tblPr>
      <w:tblInd w:w="1915" w:type="dxa"/>
    </w:tblPr>
  </w:style>
  <w:style w:type="table" w:customStyle="1" w:styleId="TableNoRule6de12424e-086d-4b08-8f0e-cb10397ec707">
    <w:name w:val="Table NoRule 6_de12424e-086d-4b08-8f0e-cb10397ec707"/>
    <w:basedOn w:val="TableNoRule5efd8035f-7608-4fdf-a82a-06c6609d9cfe"/>
    <w:uiPriority w:val="99"/>
    <w:tblPr>
      <w:tblInd w:w="2390" w:type="dxa"/>
    </w:tblPr>
  </w:style>
  <w:style w:type="table" w:customStyle="1" w:styleId="TableNoRule7">
    <w:name w:val="Table NoRule 7"/>
    <w:basedOn w:val="TableNoRule6de12424e-086d-4b08-8f0e-cb10397ec707"/>
    <w:uiPriority w:val="99"/>
    <w:tblPr>
      <w:tblInd w:w="2880" w:type="dxa"/>
    </w:tblPr>
  </w:style>
  <w:style w:type="table" w:customStyle="1" w:styleId="NormalTable7cd6673e-45b4-4e45-bb41-b11263bdbc08">
    <w:name w:val="Normal Table_7cd6673e-45b4-4e45-bb41-b11263bdbc08"/>
    <w:uiPriority w:val="99"/>
    <w:semiHidden/>
    <w:unhideWhenUsed/>
    <w:tblPr>
      <w:tblInd w:w="0" w:type="dxa"/>
      <w:tblCellMar>
        <w:top w:w="0" w:type="dxa"/>
        <w:left w:w="108" w:type="dxa"/>
        <w:bottom w:w="0" w:type="dxa"/>
        <w:right w:w="108" w:type="dxa"/>
      </w:tblCellMar>
    </w:tblPr>
  </w:style>
  <w:style w:type="table" w:customStyle="1" w:styleId="TableNoRule1c4900eb2-812d-4adf-aed4-71c75773b9e5">
    <w:name w:val="Table NoRule 1_c4900eb2-812d-4adf-aed4-71c75773b9e5"/>
    <w:basedOn w:val="NormalTable7cd6673e-45b4-4e45-bb41-b11263bdbc08"/>
    <w:uiPriority w:val="99"/>
    <w:pPr>
      <w:spacing w:before="0" w:after="0"/>
      <w:jc w:val="left"/>
    </w:pPr>
    <w:tblPr>
      <w:tblCellMar>
        <w:left w:w="0" w:type="dxa"/>
        <w:right w:w="0" w:type="dxa"/>
      </w:tblCellMar>
    </w:tblPr>
    <w:tcPr>
      <w:shd w:val="clear" w:color="auto" w:fill="auto"/>
    </w:tcPr>
  </w:style>
  <w:style w:type="table" w:customStyle="1" w:styleId="TableNoRule29b5b5d4a-ad22-471b-ae18-4e56f4629641">
    <w:name w:val="Table NoRule 2_9b5b5d4a-ad22-471b-ae18-4e56f4629641"/>
    <w:basedOn w:val="TableNoRule1c4900eb2-812d-4adf-aed4-71c75773b9e5"/>
    <w:uiPriority w:val="99"/>
    <w:tblPr>
      <w:tblInd w:w="475" w:type="dxa"/>
    </w:tblPr>
  </w:style>
  <w:style w:type="table" w:customStyle="1" w:styleId="TableNoRule30b26d9cc-76ec-492e-82ac-af0b530556e1">
    <w:name w:val="Table NoRule 3_0b26d9cc-76ec-492e-82ac-af0b530556e1"/>
    <w:basedOn w:val="TableNoRule29b5b5d4a-ad22-471b-ae18-4e56f4629641"/>
    <w:uiPriority w:val="99"/>
    <w:tblPr>
      <w:tblInd w:w="950" w:type="dxa"/>
    </w:tblPr>
  </w:style>
  <w:style w:type="table" w:customStyle="1" w:styleId="TableNoRule429c78e78-2010-4111-b1be-ef142a089a7b">
    <w:name w:val="Table NoRule 4_29c78e78-2010-4111-b1be-ef142a089a7b"/>
    <w:basedOn w:val="TableNoRule30b26d9cc-76ec-492e-82ac-af0b530556e1"/>
    <w:uiPriority w:val="99"/>
    <w:tblPr>
      <w:tblInd w:w="1440" w:type="dxa"/>
    </w:tblPr>
  </w:style>
  <w:style w:type="table" w:customStyle="1" w:styleId="TableNoRule5001fdf11-4aab-4ee0-afa5-36cdbd0a00b6">
    <w:name w:val="Table NoRule 5_001fdf11-4aab-4ee0-afa5-36cdbd0a00b6"/>
    <w:basedOn w:val="TableNoRule429c78e78-2010-4111-b1be-ef142a089a7b"/>
    <w:uiPriority w:val="99"/>
    <w:tblPr>
      <w:tblInd w:w="1915" w:type="dxa"/>
    </w:tblPr>
  </w:style>
  <w:style w:type="table" w:customStyle="1" w:styleId="TableNoRule6992657fd-c9bd-45fc-9143-1d938f42e8e1">
    <w:name w:val="Table NoRule 6_992657fd-c9bd-45fc-9143-1d938f42e8e1"/>
    <w:basedOn w:val="TableNoRule5001fdf11-4aab-4ee0-afa5-36cdbd0a00b6"/>
    <w:uiPriority w:val="99"/>
    <w:tblPr>
      <w:tblInd w:w="2390" w:type="dxa"/>
    </w:tblPr>
  </w:style>
  <w:style w:type="table" w:customStyle="1" w:styleId="TableNoRule70eb9c821-9746-457f-ac63-33ab1da4b1a8">
    <w:name w:val="Table NoRule 7_0eb9c821-9746-457f-ac63-33ab1da4b1a8"/>
    <w:basedOn w:val="TableNoRule6992657fd-c9bd-45fc-9143-1d938f42e8e1"/>
    <w:uiPriority w:val="99"/>
    <w:tblPr>
      <w:tblInd w:w="2880" w:type="dxa"/>
    </w:tblPr>
  </w:style>
  <w:style w:type="table" w:customStyle="1" w:styleId="TableNoRule8">
    <w:name w:val="Table NoRule 8"/>
    <w:basedOn w:val="TableNoRule70eb9c821-9746-457f-ac63-33ab1da4b1a8"/>
    <w:uiPriority w:val="99"/>
    <w:tblPr>
      <w:tblInd w:w="3355" w:type="dxa"/>
    </w:tblPr>
  </w:style>
  <w:style w:type="table" w:customStyle="1" w:styleId="NormalTable3104352e-f3ca-4ab7-aba0-95a852b4afcd">
    <w:name w:val="Normal Table_3104352e-f3ca-4ab7-aba0-95a852b4afcd"/>
    <w:uiPriority w:val="99"/>
    <w:semiHidden/>
    <w:unhideWhenUsed/>
    <w:tblPr>
      <w:tblInd w:w="0" w:type="dxa"/>
      <w:tblCellMar>
        <w:top w:w="0" w:type="dxa"/>
        <w:left w:w="108" w:type="dxa"/>
        <w:bottom w:w="0" w:type="dxa"/>
        <w:right w:w="108" w:type="dxa"/>
      </w:tblCellMar>
    </w:tblPr>
  </w:style>
  <w:style w:type="table" w:customStyle="1" w:styleId="TableNoRule1283af29c-1953-48e0-9d7c-12d1c58d7e03">
    <w:name w:val="Table NoRule 1_283af29c-1953-48e0-9d7c-12d1c58d7e03"/>
    <w:basedOn w:val="NormalTable3104352e-f3ca-4ab7-aba0-95a852b4afcd"/>
    <w:uiPriority w:val="99"/>
    <w:pPr>
      <w:spacing w:before="0" w:after="0"/>
      <w:jc w:val="left"/>
    </w:pPr>
    <w:tblPr>
      <w:tblCellMar>
        <w:left w:w="0" w:type="dxa"/>
        <w:right w:w="0" w:type="dxa"/>
      </w:tblCellMar>
    </w:tblPr>
    <w:tcPr>
      <w:shd w:val="clear" w:color="auto" w:fill="auto"/>
    </w:tcPr>
  </w:style>
  <w:style w:type="table" w:customStyle="1" w:styleId="TableNoRule2a545665e-41e4-46f0-80b1-9e2f007ccd61">
    <w:name w:val="Table NoRule 2_a545665e-41e4-46f0-80b1-9e2f007ccd61"/>
    <w:basedOn w:val="TableNoRule1283af29c-1953-48e0-9d7c-12d1c58d7e03"/>
    <w:uiPriority w:val="99"/>
    <w:tblPr>
      <w:tblInd w:w="475" w:type="dxa"/>
    </w:tblPr>
  </w:style>
  <w:style w:type="table" w:customStyle="1" w:styleId="TableNoRule3afad6738-77df-4116-add7-1318dbb287cf">
    <w:name w:val="Table NoRule 3_afad6738-77df-4116-add7-1318dbb287cf"/>
    <w:basedOn w:val="TableNoRule2a545665e-41e4-46f0-80b1-9e2f007ccd61"/>
    <w:uiPriority w:val="99"/>
    <w:tblPr>
      <w:tblInd w:w="950" w:type="dxa"/>
    </w:tblPr>
  </w:style>
  <w:style w:type="table" w:customStyle="1" w:styleId="TableNoRule49eed3e22-6146-4927-8529-b42ab6a43b6c">
    <w:name w:val="Table NoRule 4_9eed3e22-6146-4927-8529-b42ab6a43b6c"/>
    <w:basedOn w:val="TableNoRule3afad6738-77df-4116-add7-1318dbb287cf"/>
    <w:uiPriority w:val="99"/>
    <w:tblPr>
      <w:tblInd w:w="1440" w:type="dxa"/>
    </w:tblPr>
  </w:style>
  <w:style w:type="table" w:customStyle="1" w:styleId="TableNoRule569cab79a-791c-4936-9604-11e08ee6e3ad">
    <w:name w:val="Table NoRule 5_69cab79a-791c-4936-9604-11e08ee6e3ad"/>
    <w:basedOn w:val="TableNoRule49eed3e22-6146-4927-8529-b42ab6a43b6c"/>
    <w:uiPriority w:val="99"/>
    <w:tblPr>
      <w:tblInd w:w="1915" w:type="dxa"/>
    </w:tblPr>
  </w:style>
  <w:style w:type="table" w:customStyle="1" w:styleId="TableNoRule6c491f272-d0ee-44fa-ba28-5c7fe3e55690">
    <w:name w:val="Table NoRule 6_c491f272-d0ee-44fa-ba28-5c7fe3e55690"/>
    <w:basedOn w:val="TableNoRule569cab79a-791c-4936-9604-11e08ee6e3ad"/>
    <w:uiPriority w:val="99"/>
    <w:tblPr>
      <w:tblInd w:w="2390" w:type="dxa"/>
    </w:tblPr>
  </w:style>
  <w:style w:type="table" w:customStyle="1" w:styleId="TableNoRule79e4e6f29-aaad-4800-b3be-9634bf3d9681">
    <w:name w:val="Table NoRule 7_9e4e6f29-aaad-4800-b3be-9634bf3d9681"/>
    <w:basedOn w:val="TableNoRule6c491f272-d0ee-44fa-ba28-5c7fe3e55690"/>
    <w:uiPriority w:val="99"/>
    <w:tblPr>
      <w:tblInd w:w="2880" w:type="dxa"/>
    </w:tblPr>
  </w:style>
  <w:style w:type="table" w:customStyle="1" w:styleId="TableNoRule816778ad2-0395-4162-9410-79a4df98d140">
    <w:name w:val="Table NoRule 8_16778ad2-0395-4162-9410-79a4df98d140"/>
    <w:basedOn w:val="TableNoRule79e4e6f29-aaad-4800-b3be-9634bf3d9681"/>
    <w:uiPriority w:val="99"/>
    <w:tblPr>
      <w:tblInd w:w="3355" w:type="dxa"/>
    </w:tblPr>
  </w:style>
  <w:style w:type="table" w:customStyle="1" w:styleId="TableNoRule9">
    <w:name w:val="Table NoRule 9"/>
    <w:basedOn w:val="TableNoRule816778ad2-0395-4162-9410-79a4df98d140"/>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table" w:customStyle="1" w:styleId="NormalTable0a5e0597-08c2-48d4-8949-c7e218b1784c">
    <w:name w:val="Normal Table_0a5e0597-08c2-48d4-8949-c7e218b1784c"/>
    <w:uiPriority w:val="99"/>
    <w:semiHidden/>
    <w:unhideWhenUsed/>
    <w:tblPr>
      <w:tblInd w:w="0" w:type="dxa"/>
      <w:tblCellMar>
        <w:top w:w="0" w:type="dxa"/>
        <w:left w:w="108" w:type="dxa"/>
        <w:bottom w:w="0" w:type="dxa"/>
        <w:right w:w="108" w:type="dxa"/>
      </w:tblCellMar>
    </w:tblPr>
  </w:style>
  <w:style w:type="table" w:customStyle="1" w:styleId="Table1c2bb1d6b-6e70-48ac-a602-a6e1956c741c">
    <w:name w:val="Table 1_c2bb1d6b-6e70-48ac-a602-a6e1956c741c"/>
    <w:basedOn w:val="NormalTable0a5e0597-08c2-48d4-8949-c7e218b1784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CommentReference">
    <w:name w:val="annotation reference"/>
    <w:basedOn w:val="DefaultParagraphFont"/>
    <w:uiPriority w:val="99"/>
    <w:semiHidden/>
    <w:unhideWhenUsed/>
    <w:rsid w:val="00A04062"/>
    <w:rPr>
      <w:sz w:val="16"/>
      <w:szCs w:val="16"/>
    </w:rPr>
  </w:style>
  <w:style w:type="paragraph" w:styleId="CommentText">
    <w:name w:val="annotation text"/>
    <w:basedOn w:val="Normal"/>
    <w:link w:val="CommentTextChar1"/>
    <w:uiPriority w:val="99"/>
    <w:unhideWhenUsed/>
    <w:rsid w:val="00A04062"/>
    <w:rPr>
      <w:szCs w:val="20"/>
    </w:rPr>
  </w:style>
  <w:style w:type="character" w:customStyle="1" w:styleId="CommentTextChar1">
    <w:name w:val="Comment Text Char1"/>
    <w:basedOn w:val="DefaultParagraphFont"/>
    <w:link w:val="CommentText"/>
    <w:uiPriority w:val="99"/>
    <w:rsid w:val="00A04062"/>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A04062"/>
    <w:rPr>
      <w:b/>
      <w:bCs/>
    </w:rPr>
  </w:style>
  <w:style w:type="character" w:customStyle="1" w:styleId="CommentSubjectChar1">
    <w:name w:val="Comment Subject Char1"/>
    <w:basedOn w:val="CommentTextChar1"/>
    <w:link w:val="CommentSubject"/>
    <w:uiPriority w:val="99"/>
    <w:semiHidden/>
    <w:rsid w:val="00A04062"/>
    <w:rPr>
      <w:rFonts w:ascii="Calibri" w:hAnsi="Calibri"/>
      <w:b/>
      <w:bCs/>
      <w:sz w:val="20"/>
      <w:szCs w:val="20"/>
    </w:rPr>
  </w:style>
  <w:style w:type="paragraph" w:styleId="Revision">
    <w:name w:val="Revision"/>
    <w:hidden/>
    <w:uiPriority w:val="99"/>
    <w:semiHidden/>
    <w:rsid w:val="00A302E5"/>
    <w:pPr>
      <w:spacing w:before="0" w:after="0"/>
      <w:jc w:val="left"/>
    </w:pPr>
    <w:rPr>
      <w:rFonts w:ascii="Calibri" w:hAnsi="Calibri"/>
      <w:sz w:val="20"/>
    </w:rPr>
  </w:style>
  <w:style w:type="character" w:styleId="UnresolvedMention">
    <w:name w:val="Unresolved Mention"/>
    <w:basedOn w:val="DefaultParagraphFont"/>
    <w:uiPriority w:val="99"/>
    <w:semiHidden/>
    <w:unhideWhenUsed/>
    <w:rsid w:val="00657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d3n9y02raazwpg.cloudfront.net/spaldingcounty/60edb0c9-c4ad-11f0-a7da-005056a89546-77d9b40e-9436-4527-a290-67656428380e-1763994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4095C-C2F1-4698-AD00-4B7F67D0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11</Pages>
  <Words>5419</Words>
  <Characters>26122</Characters>
  <Application>Microsoft Office Word</Application>
  <DocSecurity>0</DocSecurity>
  <Lines>870</Lines>
  <Paragraphs>584</Paragraphs>
  <ScaleCrop>false</ScaleCrop>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dc:creator>
  <cp:lastModifiedBy>Amy Sharma</cp:lastModifiedBy>
  <cp:revision>316</cp:revision>
  <dcterms:created xsi:type="dcterms:W3CDTF">2025-05-20T16:57:00Z</dcterms:created>
  <dcterms:modified xsi:type="dcterms:W3CDTF">2025-12-07T16:58:00Z</dcterms:modified>
</cp:coreProperties>
</file>